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both"/>
      </w:pPr>
      <w:bookmarkStart w:id="11" w:name="_GoBack"/>
      <w:bookmarkEnd w:id="11"/>
      <w:r>
        <w:rPr>
          <w:rFonts w:hint="eastAsia"/>
          <w:b/>
          <w:sz w:val="28"/>
          <w:szCs w:val="28"/>
        </w:rPr>
        <w:t xml:space="preserve">附件1：         </w:t>
      </w:r>
      <w:r>
        <w:rPr>
          <w:rFonts w:hint="eastAsia"/>
        </w:rPr>
        <w:t>非遗形象门店管理规范</w:t>
      </w:r>
    </w:p>
    <w:p>
      <w:pPr>
        <w:pStyle w:val="12"/>
        <w:spacing w:before="312" w:after="312"/>
      </w:pPr>
      <w:bookmarkStart w:id="0" w:name="_Toc73538782"/>
      <w:r>
        <w:rPr>
          <w:rFonts w:hint="eastAsia"/>
        </w:rPr>
        <w:t>范围</w:t>
      </w:r>
      <w:bookmarkEnd w:id="0"/>
    </w:p>
    <w:p>
      <w:pPr>
        <w:pStyle w:val="9"/>
      </w:pPr>
      <w:r>
        <w:rPr>
          <w:rFonts w:hint="eastAsia"/>
        </w:rPr>
        <w:t>本文件规定了浙江省绍兴市非遗形象门店的基本要求、基本类型，以及创建非遗形象门店的基本原则、经营状况要求、门店环境要求、产品及服务要求、管理要求、评定和复核等内容。</w:t>
      </w:r>
    </w:p>
    <w:p>
      <w:pPr>
        <w:pStyle w:val="9"/>
      </w:pPr>
      <w:r>
        <w:rPr>
          <w:rFonts w:hint="eastAsia"/>
        </w:rPr>
        <w:t>本文件适用于在浙江省绍兴市范围内非遗形象门店的经营与管理。</w:t>
      </w:r>
    </w:p>
    <w:p>
      <w:pPr>
        <w:pStyle w:val="12"/>
        <w:spacing w:before="312" w:after="312"/>
      </w:pPr>
      <w:bookmarkStart w:id="1" w:name="_Toc73538783"/>
      <w:r>
        <w:rPr>
          <w:rFonts w:hint="eastAsia"/>
        </w:rPr>
        <w:t>规范性引用文件</w:t>
      </w:r>
      <w:bookmarkEnd w:id="1"/>
    </w:p>
    <w:p>
      <w:pPr>
        <w:pStyle w:val="9"/>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9"/>
      </w:pPr>
      <w:r>
        <w:rPr>
          <w:rFonts w:hint="eastAsia"/>
        </w:rPr>
        <w:t>GB/T 10001.1  公共信息图形符号 第1部分：通用符号</w:t>
      </w:r>
    </w:p>
    <w:p>
      <w:pPr>
        <w:pStyle w:val="9"/>
      </w:pPr>
      <w:r>
        <w:rPr>
          <w:rFonts w:hint="eastAsia"/>
        </w:rPr>
        <w:t>GB/T 10001.5  公共信息图形符号 第5部分：购物符号</w:t>
      </w:r>
    </w:p>
    <w:p>
      <w:pPr>
        <w:pStyle w:val="9"/>
      </w:pPr>
      <w:r>
        <w:rPr>
          <w:rFonts w:hint="eastAsia"/>
        </w:rPr>
        <w:t>GB/T 15566.1  公共信息导向系统 设置原则与要求 第1部分 总则</w:t>
      </w:r>
    </w:p>
    <w:p>
      <w:pPr>
        <w:pStyle w:val="9"/>
      </w:pPr>
      <w:r>
        <w:rPr>
          <w:rFonts w:hint="eastAsia"/>
        </w:rPr>
        <w:t>GB/T 17110  商店购物环境与营销设施的要求</w:t>
      </w:r>
    </w:p>
    <w:p>
      <w:pPr>
        <w:pStyle w:val="9"/>
      </w:pPr>
      <w:r>
        <w:rPr>
          <w:rFonts w:hint="eastAsia"/>
        </w:rPr>
        <w:t>GB/T 17217  公共厕所卫生规范</w:t>
      </w:r>
    </w:p>
    <w:p>
      <w:pPr>
        <w:pStyle w:val="9"/>
      </w:pPr>
      <w:r>
        <w:rPr>
          <w:rFonts w:hint="eastAsia"/>
        </w:rPr>
        <w:t>GB/T 27306  食品安全管理体系餐饮业要求</w:t>
      </w:r>
    </w:p>
    <w:p>
      <w:pPr>
        <w:pStyle w:val="12"/>
        <w:spacing w:before="312" w:after="312"/>
      </w:pPr>
      <w:bookmarkStart w:id="2" w:name="_Toc73538784"/>
      <w:r>
        <w:rPr>
          <w:rFonts w:hint="eastAsia"/>
        </w:rPr>
        <w:t>术语和定义</w:t>
      </w:r>
      <w:bookmarkEnd w:id="2"/>
    </w:p>
    <w:p>
      <w:pPr>
        <w:pStyle w:val="9"/>
      </w:pPr>
      <w:r>
        <w:rPr>
          <w:rFonts w:hint="eastAsia" w:hAnsi="宋体"/>
        </w:rPr>
        <w:t>下列术语和定义适用于本文件。</w:t>
      </w:r>
    </w:p>
    <w:p>
      <w:pPr>
        <w:pStyle w:val="11"/>
        <w:spacing w:before="156" w:after="156"/>
      </w:pPr>
    </w:p>
    <w:p>
      <w:pPr>
        <w:pStyle w:val="11"/>
        <w:numPr>
          <w:ilvl w:val="0"/>
          <w:numId w:val="0"/>
        </w:numPr>
        <w:spacing w:before="156" w:after="156"/>
      </w:pPr>
      <w:r>
        <w:rPr>
          <w:rFonts w:hint="eastAsia"/>
        </w:rPr>
        <w:t xml:space="preserve">    非物质文化遗产  Intangible cultural heritage</w:t>
      </w:r>
    </w:p>
    <w:p>
      <w:pPr>
        <w:pStyle w:val="9"/>
      </w:pPr>
      <w:r>
        <w:rPr>
          <w:rFonts w:hint="eastAsia" w:hAnsi="宋体"/>
        </w:rPr>
        <w:t>各族人民世代相传并视为其文化遗产组成部分的各种传统文化表现形式，以及与传统文化表现形式相关的实物和场所。包括传统口头文学以及作为其载体的语言，传统美术、音乐、舞蹈、戏剧和曲艺，传统技艺、医药和历法，传统礼仪、节庆等民俗，传统体育、游艺和杂技等。简称“非遗”。</w:t>
      </w:r>
    </w:p>
    <w:p>
      <w:pPr>
        <w:pStyle w:val="11"/>
        <w:spacing w:before="156" w:after="156"/>
      </w:pPr>
    </w:p>
    <w:p>
      <w:pPr>
        <w:pStyle w:val="11"/>
        <w:numPr>
          <w:ilvl w:val="0"/>
          <w:numId w:val="0"/>
        </w:numPr>
        <w:spacing w:before="156" w:after="156"/>
      </w:pPr>
      <w:r>
        <w:rPr>
          <w:rFonts w:hint="eastAsia"/>
        </w:rPr>
        <w:t xml:space="preserve">    非遗形象门店</w:t>
      </w:r>
      <w:r>
        <w:rPr>
          <w:rFonts w:hint="eastAsia"/>
        </w:rPr>
        <w:tab/>
      </w:r>
      <w:r>
        <w:rPr>
          <w:rFonts w:hint="eastAsia"/>
        </w:rPr>
        <w:t>Intangible cultural heritage image stores</w:t>
      </w:r>
    </w:p>
    <w:p>
      <w:pPr>
        <w:pStyle w:val="9"/>
      </w:pPr>
      <w:r>
        <w:rPr>
          <w:rFonts w:hint="eastAsia" w:hAnsi="宋体"/>
        </w:rPr>
        <w:t>主要以销售和提供非遗相关产品或服务为主，为顾客提供专业、特色消费体验的门店。</w:t>
      </w:r>
    </w:p>
    <w:p>
      <w:pPr>
        <w:pStyle w:val="11"/>
        <w:spacing w:before="156" w:after="156"/>
      </w:pPr>
    </w:p>
    <w:p>
      <w:pPr>
        <w:pStyle w:val="11"/>
        <w:numPr>
          <w:ilvl w:val="0"/>
          <w:numId w:val="0"/>
        </w:numPr>
        <w:spacing w:before="156" w:after="156"/>
      </w:pPr>
      <w:r>
        <w:rPr>
          <w:rFonts w:hint="eastAsia"/>
        </w:rPr>
        <w:t xml:space="preserve">    非遗产品</w:t>
      </w:r>
      <w:r>
        <w:rPr>
          <w:rFonts w:hint="eastAsia"/>
        </w:rPr>
        <w:tab/>
      </w:r>
      <w:r>
        <w:rPr>
          <w:rFonts w:hint="eastAsia"/>
        </w:rPr>
        <w:t>Intangible cultural heritageproduct</w:t>
      </w:r>
    </w:p>
    <w:p>
      <w:pPr>
        <w:pStyle w:val="9"/>
      </w:pPr>
      <w:r>
        <w:rPr>
          <w:rFonts w:hint="eastAsia" w:hAnsi="宋体"/>
        </w:rPr>
        <w:t>国家、地方认定的非遗代表性项目相关的工艺、技艺制成的产品或提供的服务。</w:t>
      </w:r>
    </w:p>
    <w:p>
      <w:pPr>
        <w:pStyle w:val="12"/>
        <w:spacing w:before="312" w:after="312"/>
      </w:pPr>
      <w:bookmarkStart w:id="3" w:name="_Toc73538785"/>
      <w:r>
        <w:rPr>
          <w:rFonts w:hint="eastAsia"/>
        </w:rPr>
        <w:t>非遗形象门店基本类型</w:t>
      </w:r>
      <w:bookmarkEnd w:id="3"/>
    </w:p>
    <w:p>
      <w:pPr>
        <w:pStyle w:val="11"/>
        <w:spacing w:before="156" w:after="156"/>
      </w:pPr>
      <w:r>
        <w:rPr>
          <w:rFonts w:hint="eastAsia"/>
        </w:rPr>
        <w:t>艺术表演类</w:t>
      </w:r>
    </w:p>
    <w:p>
      <w:pPr>
        <w:pStyle w:val="9"/>
      </w:pPr>
      <w:r>
        <w:rPr>
          <w:rFonts w:hint="eastAsia" w:hAnsi="宋体"/>
        </w:rPr>
        <w:t>指提供与传统戏剧、曲艺、传统音乐、传统舞蹈、传统体育游艺与杂技等相关的非遗产品或服务的门店。</w:t>
      </w:r>
    </w:p>
    <w:p>
      <w:pPr>
        <w:pStyle w:val="11"/>
        <w:spacing w:before="156" w:after="156"/>
      </w:pPr>
      <w:r>
        <w:rPr>
          <w:rFonts w:hint="eastAsia"/>
        </w:rPr>
        <w:t>传统技艺类</w:t>
      </w:r>
    </w:p>
    <w:p>
      <w:pPr>
        <w:pStyle w:val="9"/>
      </w:pPr>
      <w:r>
        <w:rPr>
          <w:rFonts w:hint="eastAsia" w:hAnsi="宋体"/>
        </w:rPr>
        <w:t>指通过烧造、刻绘、织绣、印染、锻制等工艺技艺，主要以手工方式制造或提供的非遗产品或服务的门店。</w:t>
      </w:r>
    </w:p>
    <w:p>
      <w:pPr>
        <w:pStyle w:val="11"/>
        <w:spacing w:before="156" w:after="156"/>
      </w:pPr>
      <w:r>
        <w:rPr>
          <w:rFonts w:hint="eastAsia"/>
        </w:rPr>
        <w:t>医药护理类</w:t>
      </w:r>
    </w:p>
    <w:p>
      <w:pPr>
        <w:pStyle w:val="9"/>
      </w:pPr>
      <w:r>
        <w:rPr>
          <w:rFonts w:hint="eastAsia" w:hAnsi="宋体"/>
        </w:rPr>
        <w:t>指提供与传统医药类非遗相关的产品或服务的门店。</w:t>
      </w:r>
    </w:p>
    <w:p>
      <w:pPr>
        <w:pStyle w:val="11"/>
        <w:spacing w:before="156" w:after="156"/>
      </w:pPr>
      <w:r>
        <w:rPr>
          <w:rFonts w:hint="eastAsia"/>
        </w:rPr>
        <w:t>特色美食类</w:t>
      </w:r>
    </w:p>
    <w:p>
      <w:pPr>
        <w:pStyle w:val="9"/>
      </w:pPr>
      <w:r>
        <w:rPr>
          <w:rFonts w:hint="eastAsia" w:hAnsi="宋体"/>
        </w:rPr>
        <w:t>指提供与饮食类非遗相关的产品或服务的门店。</w:t>
      </w:r>
    </w:p>
    <w:p>
      <w:pPr>
        <w:pStyle w:val="12"/>
        <w:spacing w:before="312" w:after="312"/>
      </w:pPr>
      <w:bookmarkStart w:id="4" w:name="_Toc73538786"/>
      <w:r>
        <w:rPr>
          <w:rFonts w:hint="eastAsia"/>
        </w:rPr>
        <w:t>基本要求</w:t>
      </w:r>
      <w:bookmarkEnd w:id="4"/>
    </w:p>
    <w:p>
      <w:pPr>
        <w:pStyle w:val="11"/>
        <w:spacing w:before="156" w:after="156"/>
      </w:pPr>
      <w:r>
        <w:rPr>
          <w:rFonts w:hint="eastAsia"/>
        </w:rPr>
        <w:t>可进入性</w:t>
      </w:r>
    </w:p>
    <w:p>
      <w:pPr>
        <w:pStyle w:val="18"/>
      </w:pPr>
      <w:r>
        <w:rPr>
          <w:rFonts w:hint="eastAsia"/>
        </w:rPr>
        <w:t>外部交通良好，交通设施完善，进出便捷。</w:t>
      </w:r>
    </w:p>
    <w:p>
      <w:pPr>
        <w:pStyle w:val="18"/>
      </w:pPr>
      <w:r>
        <w:rPr>
          <w:rFonts w:hint="eastAsia"/>
        </w:rPr>
        <w:t>导向系统清晰，设置合理，符合GB/T 15566.1的规定。</w:t>
      </w:r>
    </w:p>
    <w:p>
      <w:pPr>
        <w:pStyle w:val="11"/>
        <w:spacing w:before="156" w:after="156"/>
      </w:pPr>
      <w:r>
        <w:rPr>
          <w:rFonts w:hint="eastAsia"/>
        </w:rPr>
        <w:t>公共标识</w:t>
      </w:r>
    </w:p>
    <w:p>
      <w:pPr>
        <w:pStyle w:val="13"/>
        <w:numPr>
          <w:ilvl w:val="0"/>
          <w:numId w:val="0"/>
        </w:numPr>
        <w:spacing w:before="156" w:after="156"/>
        <w:ind w:firstLine="420" w:firstLineChars="200"/>
        <w:rPr>
          <w:rFonts w:ascii="宋体" w:hAnsi="宋体" w:eastAsia="宋体"/>
        </w:rPr>
      </w:pPr>
      <w:r>
        <w:rPr>
          <w:rFonts w:hint="eastAsia" w:ascii="宋体" w:hAnsi="宋体" w:eastAsia="宋体"/>
        </w:rPr>
        <w:t>公共信息图形符号和导向标识设置规范，符合GB/T 10001.1和GB/T 10001.5的规定。</w:t>
      </w:r>
    </w:p>
    <w:p>
      <w:pPr>
        <w:pStyle w:val="11"/>
        <w:spacing w:before="156" w:after="156"/>
      </w:pPr>
      <w:r>
        <w:rPr>
          <w:rFonts w:hint="eastAsia"/>
        </w:rPr>
        <w:t>安全保障</w:t>
      </w:r>
    </w:p>
    <w:p>
      <w:pPr>
        <w:pStyle w:val="18"/>
      </w:pPr>
      <w:r>
        <w:rPr>
          <w:rFonts w:hint="eastAsia"/>
        </w:rPr>
        <w:t>有较为完善的安全管理制度，应配备必要安全设施和专兼职安防人员。</w:t>
      </w:r>
    </w:p>
    <w:p>
      <w:pPr>
        <w:pStyle w:val="18"/>
      </w:pPr>
      <w:r>
        <w:rPr>
          <w:rFonts w:hint="eastAsia"/>
        </w:rPr>
        <w:t>门店内部柜台、货架等设施设置应考虑消费者购物安全。</w:t>
      </w:r>
    </w:p>
    <w:p>
      <w:pPr>
        <w:pStyle w:val="18"/>
      </w:pPr>
      <w:r>
        <w:rPr>
          <w:rFonts w:hint="eastAsia"/>
        </w:rPr>
        <w:t>门店内部至少安装一个监控探头，对门店内客流量进行及时监测，超过安全极限时给予提示并予以限流。</w:t>
      </w:r>
    </w:p>
    <w:p>
      <w:pPr>
        <w:pStyle w:val="18"/>
      </w:pPr>
      <w:r>
        <w:rPr>
          <w:rFonts w:hint="eastAsia"/>
        </w:rPr>
        <w:t>特色美食类门店的食品卫生管理要求符合GB/T 27306的规定。</w:t>
      </w:r>
    </w:p>
    <w:p>
      <w:pPr>
        <w:pStyle w:val="11"/>
        <w:spacing w:before="156" w:after="156"/>
      </w:pPr>
      <w:r>
        <w:rPr>
          <w:rFonts w:hint="eastAsia"/>
        </w:rPr>
        <w:t>卫生环保</w:t>
      </w:r>
    </w:p>
    <w:p>
      <w:pPr>
        <w:pStyle w:val="18"/>
      </w:pPr>
      <w:r>
        <w:rPr>
          <w:rFonts w:hint="eastAsia"/>
        </w:rPr>
        <w:t>门店整体干净整洁，无乱堆、乱放、乱建现象。</w:t>
      </w:r>
    </w:p>
    <w:p>
      <w:pPr>
        <w:pStyle w:val="18"/>
      </w:pPr>
      <w:r>
        <w:rPr>
          <w:rFonts w:hint="eastAsia"/>
        </w:rPr>
        <w:t>配备专兼职卫生保洁人员，定期清洁。</w:t>
      </w:r>
    </w:p>
    <w:p>
      <w:pPr>
        <w:pStyle w:val="18"/>
      </w:pPr>
      <w:r>
        <w:rPr>
          <w:rFonts w:hint="eastAsia"/>
        </w:rPr>
        <w:t>垃圾按照当地环保要求分类收集，处理及时，日产日清。</w:t>
      </w:r>
    </w:p>
    <w:p>
      <w:pPr>
        <w:pStyle w:val="18"/>
      </w:pPr>
      <w:r>
        <w:rPr>
          <w:rFonts w:hint="eastAsia"/>
        </w:rPr>
        <w:t>如有公共卫生间，卫生条件应符合GB/T 17217的规定。</w:t>
      </w:r>
    </w:p>
    <w:p>
      <w:pPr>
        <w:pStyle w:val="12"/>
        <w:spacing w:before="312" w:after="312"/>
      </w:pPr>
      <w:bookmarkStart w:id="5" w:name="_Toc73538787"/>
      <w:r>
        <w:rPr>
          <w:rFonts w:hint="eastAsia"/>
        </w:rPr>
        <w:t>基本原则</w:t>
      </w:r>
      <w:bookmarkEnd w:id="5"/>
    </w:p>
    <w:p>
      <w:pPr>
        <w:pStyle w:val="11"/>
        <w:spacing w:beforeLines="0" w:afterLines="0"/>
        <w:rPr>
          <w:rFonts w:ascii="宋体" w:hAnsi="宋体" w:eastAsia="宋体"/>
        </w:rPr>
      </w:pPr>
      <w:r>
        <w:rPr>
          <w:rFonts w:hint="eastAsia" w:ascii="宋体" w:hAnsi="宋体" w:eastAsia="宋体"/>
        </w:rPr>
        <w:t>注重非遗特色。有明确的非遗代表性项目是申报非遗形象门店的前提。在经营中，需注重非遗代表性项目的传承与展示，塑造独特的门店形象。</w:t>
      </w:r>
    </w:p>
    <w:p>
      <w:pPr>
        <w:pStyle w:val="11"/>
        <w:spacing w:beforeLines="0" w:afterLines="0"/>
        <w:rPr>
          <w:rFonts w:ascii="宋体" w:hAnsi="宋体" w:eastAsia="宋体"/>
        </w:rPr>
      </w:pPr>
      <w:r>
        <w:rPr>
          <w:rFonts w:hint="eastAsia" w:ascii="宋体" w:hAnsi="宋体" w:eastAsia="宋体"/>
        </w:rPr>
        <w:t>限定经营范围。主要经营范围：已评定的市级及以上非遗代表性项目相关产品或服务。</w:t>
      </w:r>
    </w:p>
    <w:p>
      <w:pPr>
        <w:pStyle w:val="11"/>
        <w:spacing w:beforeLines="0" w:afterLines="0"/>
        <w:rPr>
          <w:rFonts w:ascii="宋体" w:hAnsi="宋体" w:eastAsia="宋体"/>
        </w:rPr>
      </w:pPr>
      <w:r>
        <w:rPr>
          <w:rFonts w:hint="eastAsia" w:ascii="宋体" w:hAnsi="宋体" w:eastAsia="宋体"/>
        </w:rPr>
        <w:t>遵循属地原则。非遗形象门店售卖的非遗产品或提供的服务应与本地非遗代表性项目相关。</w:t>
      </w:r>
    </w:p>
    <w:p>
      <w:pPr>
        <w:pStyle w:val="12"/>
        <w:spacing w:before="312" w:after="312"/>
      </w:pPr>
      <w:bookmarkStart w:id="6" w:name="_Toc73538788"/>
      <w:r>
        <w:rPr>
          <w:rFonts w:hint="eastAsia"/>
        </w:rPr>
        <w:t>经营准入要求</w:t>
      </w:r>
      <w:bookmarkEnd w:id="6"/>
    </w:p>
    <w:p>
      <w:pPr>
        <w:pStyle w:val="11"/>
        <w:spacing w:beforeLines="0" w:afterLines="0"/>
        <w:rPr>
          <w:rFonts w:ascii="宋体" w:hAnsi="宋体" w:eastAsia="宋体"/>
        </w:rPr>
      </w:pPr>
      <w:r>
        <w:rPr>
          <w:rFonts w:hint="eastAsia" w:ascii="宋体" w:hAnsi="宋体" w:eastAsia="宋体"/>
        </w:rPr>
        <w:t>门店持续经营一年以上。</w:t>
      </w:r>
    </w:p>
    <w:p>
      <w:pPr>
        <w:pStyle w:val="11"/>
        <w:spacing w:beforeLines="0" w:afterLines="0"/>
        <w:rPr>
          <w:rFonts w:ascii="宋体" w:hAnsi="宋体" w:eastAsia="宋体"/>
        </w:rPr>
      </w:pPr>
      <w:r>
        <w:rPr>
          <w:rFonts w:hint="eastAsia" w:ascii="宋体" w:hAnsi="宋体" w:eastAsia="宋体"/>
        </w:rPr>
        <w:t>合法经营，最近三年内无重大违法乱纪行为。</w:t>
      </w:r>
    </w:p>
    <w:p>
      <w:pPr>
        <w:pStyle w:val="11"/>
        <w:spacing w:beforeLines="0" w:afterLines="0"/>
        <w:rPr>
          <w:rFonts w:ascii="宋体" w:hAnsi="宋体" w:eastAsia="宋体"/>
        </w:rPr>
      </w:pPr>
      <w:r>
        <w:rPr>
          <w:rFonts w:hint="eastAsia" w:ascii="宋体" w:hAnsi="宋体" w:eastAsia="宋体"/>
        </w:rPr>
        <w:t>符合国家应急管理、市场监督、公安、卫生、环保、税务、文化、旅游、商务、知识产权等法律、法规和强制性标准的规定。</w:t>
      </w:r>
    </w:p>
    <w:p>
      <w:pPr>
        <w:pStyle w:val="12"/>
        <w:spacing w:before="312" w:after="312"/>
      </w:pPr>
      <w:bookmarkStart w:id="7" w:name="_Toc73538789"/>
      <w:r>
        <w:rPr>
          <w:rFonts w:hint="eastAsia"/>
        </w:rPr>
        <w:t>门店环境要求</w:t>
      </w:r>
      <w:bookmarkEnd w:id="7"/>
    </w:p>
    <w:p>
      <w:pPr>
        <w:pStyle w:val="11"/>
        <w:spacing w:before="156" w:after="156"/>
      </w:pPr>
      <w:r>
        <w:rPr>
          <w:rFonts w:hint="eastAsia"/>
        </w:rPr>
        <w:t>总体布局</w:t>
      </w:r>
    </w:p>
    <w:p>
      <w:pPr>
        <w:pStyle w:val="18"/>
      </w:pPr>
      <w:r>
        <w:rPr>
          <w:rFonts w:hint="eastAsia"/>
        </w:rPr>
        <w:t>门店选址合理，交通便利；</w:t>
      </w:r>
    </w:p>
    <w:p>
      <w:pPr>
        <w:pStyle w:val="18"/>
      </w:pPr>
      <w:r>
        <w:rPr>
          <w:rFonts w:hint="eastAsia"/>
        </w:rPr>
        <w:t>门店布局合理，营业面积15m2（含）以上。</w:t>
      </w:r>
    </w:p>
    <w:p>
      <w:pPr>
        <w:pStyle w:val="11"/>
        <w:spacing w:before="156" w:after="156"/>
      </w:pPr>
      <w:r>
        <w:rPr>
          <w:rFonts w:hint="eastAsia"/>
        </w:rPr>
        <w:t>店面要求</w:t>
      </w:r>
    </w:p>
    <w:p>
      <w:pPr>
        <w:pStyle w:val="18"/>
      </w:pPr>
      <w:r>
        <w:rPr>
          <w:rFonts w:hint="eastAsia"/>
        </w:rPr>
        <w:t>非遗形象门店标志由政府相关部门统一制作挂牌。标志由中国非物质文化遗产标识和“非遗门店”文字构成，红色文字代表“达标级门店”，银白色文字代表“银鼎级门店”，金黄色文字代表“金鼎级门店”。门店标志应实行中外文对照形式，中文设置在上方，外文设置在下方，中文字号大小应当大于外文。</w:t>
      </w:r>
    </w:p>
    <w:p>
      <w:pPr>
        <w:pStyle w:val="18"/>
      </w:pPr>
      <w:r>
        <w:rPr>
          <w:rFonts w:hint="eastAsia"/>
        </w:rPr>
        <w:t>门店非遗特色的创建范围至少覆盖门店牌匾（招牌）和其中一处墙面，墙面内容应有与该门店售卖的产品或提供的服务相关非遗代表性项目的图文介绍。</w:t>
      </w:r>
    </w:p>
    <w:p>
      <w:pPr>
        <w:pStyle w:val="18"/>
      </w:pPr>
      <w:r>
        <w:rPr>
          <w:rFonts w:hint="eastAsia"/>
        </w:rPr>
        <w:t>门店装修、软装饰等应符合其所提供的产品或服务的风格，整体氛围要体现非遗特色。灯光设计、背景音乐与门店的整体风格相融合。</w:t>
      </w:r>
    </w:p>
    <w:p>
      <w:pPr>
        <w:pStyle w:val="18"/>
      </w:pPr>
      <w:r>
        <w:rPr>
          <w:rFonts w:hint="eastAsia"/>
        </w:rPr>
        <w:t>在门店的橱柜、展架及细节装饰上，有专门设计的体现门店特色的视觉识别系统。</w:t>
      </w:r>
    </w:p>
    <w:p>
      <w:pPr>
        <w:pStyle w:val="18"/>
      </w:pPr>
      <w:r>
        <w:rPr>
          <w:rFonts w:hint="eastAsia"/>
        </w:rPr>
        <w:t>门店环境符合GB/T 17110中对于购物环境的要求。门店内标识设置合理、清晰。</w:t>
      </w:r>
    </w:p>
    <w:p>
      <w:pPr>
        <w:pStyle w:val="12"/>
        <w:spacing w:before="312" w:after="312"/>
      </w:pPr>
      <w:bookmarkStart w:id="8" w:name="_Toc73538790"/>
      <w:r>
        <w:rPr>
          <w:rFonts w:hint="eastAsia"/>
        </w:rPr>
        <w:t>产品及服务要求</w:t>
      </w:r>
      <w:bookmarkEnd w:id="8"/>
    </w:p>
    <w:p>
      <w:pPr>
        <w:pStyle w:val="11"/>
        <w:spacing w:before="156" w:after="156"/>
      </w:pPr>
      <w:r>
        <w:rPr>
          <w:rFonts w:hint="eastAsia"/>
        </w:rPr>
        <w:t>产品特色要求</w:t>
      </w:r>
    </w:p>
    <w:p>
      <w:pPr>
        <w:pStyle w:val="18"/>
      </w:pPr>
      <w:r>
        <w:rPr>
          <w:rFonts w:hint="eastAsia"/>
        </w:rPr>
        <w:t>门店所提供的非遗产品或服务达到经营内容的50%（含）以上。</w:t>
      </w:r>
    </w:p>
    <w:p>
      <w:pPr>
        <w:pStyle w:val="18"/>
      </w:pPr>
      <w:r>
        <w:rPr>
          <w:rFonts w:hint="eastAsia"/>
        </w:rPr>
        <w:t>有自有品牌。自有品牌应注册独立商标、体现非遗特色。产品包装等视觉具有非遗特色。</w:t>
      </w:r>
    </w:p>
    <w:p>
      <w:pPr>
        <w:pStyle w:val="18"/>
      </w:pPr>
      <w:r>
        <w:rPr>
          <w:rFonts w:hint="eastAsia"/>
        </w:rPr>
        <w:t>门店主要经营的产品或服务须与市级及以上非遗代表性项目相关。门店提供的相应产品或服务旁应配套提供相关的非遗代表性项目介绍。</w:t>
      </w:r>
    </w:p>
    <w:p>
      <w:pPr>
        <w:pStyle w:val="11"/>
        <w:spacing w:before="156" w:after="156"/>
      </w:pPr>
      <w:r>
        <w:rPr>
          <w:rFonts w:hint="eastAsia"/>
        </w:rPr>
        <w:t>服务特色要求</w:t>
      </w:r>
    </w:p>
    <w:p>
      <w:pPr>
        <w:pStyle w:val="18"/>
      </w:pPr>
      <w:r>
        <w:rPr>
          <w:rFonts w:hint="eastAsia"/>
        </w:rPr>
        <w:t>鼓励门店提供非遗相关工艺技艺、生产场景的展示或设立非遗主题展览区，展示产品和服务特色，提升消费体验水平。</w:t>
      </w:r>
    </w:p>
    <w:p>
      <w:pPr>
        <w:pStyle w:val="18"/>
      </w:pPr>
      <w:r>
        <w:rPr>
          <w:rFonts w:hint="eastAsia"/>
        </w:rPr>
        <w:t>员工服饰设计体现门店非遗特色。</w:t>
      </w:r>
    </w:p>
    <w:p>
      <w:pPr>
        <w:pStyle w:val="18"/>
      </w:pPr>
      <w:r>
        <w:rPr>
          <w:rFonts w:hint="eastAsia"/>
        </w:rPr>
        <w:t>门店应定期组织开展非遗相关主题的展销活动、宣传活动和营销活动，有效利用各类媒体和渠道宣传推广非遗代表性项目。</w:t>
      </w:r>
    </w:p>
    <w:p>
      <w:pPr>
        <w:pStyle w:val="12"/>
        <w:spacing w:before="312" w:after="312"/>
      </w:pPr>
      <w:bookmarkStart w:id="9" w:name="_Toc73538791"/>
      <w:r>
        <w:rPr>
          <w:rFonts w:hint="eastAsia"/>
        </w:rPr>
        <w:t>管理要求</w:t>
      </w:r>
      <w:bookmarkEnd w:id="9"/>
    </w:p>
    <w:p>
      <w:pPr>
        <w:pStyle w:val="11"/>
        <w:spacing w:beforeLines="0" w:afterLines="0"/>
        <w:rPr>
          <w:rFonts w:ascii="宋体" w:hAnsi="宋体" w:eastAsia="宋体"/>
        </w:rPr>
      </w:pPr>
      <w:r>
        <w:rPr>
          <w:rFonts w:hint="eastAsia" w:ascii="宋体" w:hAnsi="宋体" w:eastAsia="宋体"/>
        </w:rPr>
        <w:t>门店应有较为完善的经营管理制度和财务制度，有短期和长期的经营计划及销售目标。</w:t>
      </w:r>
    </w:p>
    <w:p>
      <w:pPr>
        <w:pStyle w:val="11"/>
        <w:spacing w:beforeLines="0" w:afterLines="0"/>
        <w:rPr>
          <w:rFonts w:ascii="宋体" w:hAnsi="宋体" w:eastAsia="宋体"/>
        </w:rPr>
      </w:pPr>
      <w:r>
        <w:rPr>
          <w:rFonts w:hint="eastAsia" w:ascii="宋体" w:hAnsi="宋体" w:eastAsia="宋体"/>
        </w:rPr>
        <w:t>门店应公布商品和服务质量投诉电话，建立完善的投诉处理解决机制，及时处理并反馈每一件投诉。</w:t>
      </w:r>
    </w:p>
    <w:p>
      <w:pPr>
        <w:pStyle w:val="11"/>
        <w:spacing w:beforeLines="0" w:afterLines="0"/>
        <w:rPr>
          <w:rFonts w:ascii="宋体" w:hAnsi="宋体" w:eastAsia="宋体"/>
        </w:rPr>
      </w:pPr>
      <w:r>
        <w:rPr>
          <w:rFonts w:hint="eastAsia" w:ascii="宋体" w:hAnsi="宋体" w:eastAsia="宋体"/>
        </w:rPr>
        <w:t>门店应建立有效的服务质量监督检查和持续改进机制，定期收集消费者的反馈意见，不断提升服务水平。</w:t>
      </w:r>
    </w:p>
    <w:p>
      <w:pPr>
        <w:pStyle w:val="11"/>
        <w:spacing w:beforeLines="0" w:afterLines="0"/>
        <w:rPr>
          <w:rFonts w:ascii="宋体" w:hAnsi="宋体" w:eastAsia="宋体"/>
        </w:rPr>
      </w:pPr>
      <w:r>
        <w:rPr>
          <w:rFonts w:hint="eastAsia" w:ascii="宋体" w:hAnsi="宋体" w:eastAsia="宋体"/>
        </w:rPr>
        <w:t>门店的相关服务人员应具备专业素养，上岗前参与门店统一培训。</w:t>
      </w:r>
    </w:p>
    <w:p>
      <w:pPr>
        <w:pStyle w:val="12"/>
        <w:spacing w:before="312" w:after="312"/>
      </w:pPr>
      <w:bookmarkStart w:id="10" w:name="_Toc73538792"/>
      <w:r>
        <w:rPr>
          <w:rFonts w:hint="eastAsia"/>
        </w:rPr>
        <w:t>评定与复核</w:t>
      </w:r>
      <w:bookmarkEnd w:id="10"/>
    </w:p>
    <w:p>
      <w:pPr>
        <w:pStyle w:val="11"/>
        <w:spacing w:beforeLines="0" w:afterLines="0"/>
        <w:rPr>
          <w:rFonts w:ascii="宋体" w:hAnsi="宋体" w:eastAsia="宋体"/>
        </w:rPr>
      </w:pPr>
      <w:r>
        <w:rPr>
          <w:rFonts w:hint="eastAsia" w:ascii="宋体" w:hAnsi="宋体" w:eastAsia="宋体"/>
        </w:rPr>
        <w:t>非遗形象门店资格评定与复核工作由文化和旅游主管部门负责。</w:t>
      </w:r>
    </w:p>
    <w:p>
      <w:pPr>
        <w:pStyle w:val="11"/>
        <w:spacing w:beforeLines="0" w:afterLines="0"/>
        <w:rPr>
          <w:rFonts w:ascii="宋体" w:hAnsi="宋体" w:eastAsia="宋体"/>
        </w:rPr>
      </w:pPr>
      <w:r>
        <w:rPr>
          <w:rFonts w:hint="eastAsia" w:ascii="宋体" w:hAnsi="宋体" w:eastAsia="宋体"/>
        </w:rPr>
        <w:t>若无法直接认定产品或服务与非遗代表性项目相关，可由经营者提供相关材料，证明其非遗代表性传承人的身份，由文化和旅游主管部门进行资格审核。</w:t>
      </w:r>
    </w:p>
    <w:p>
      <w:pPr>
        <w:pStyle w:val="11"/>
        <w:spacing w:beforeLines="0" w:afterLines="0"/>
        <w:rPr>
          <w:rFonts w:ascii="宋体" w:hAnsi="宋体" w:eastAsia="宋体"/>
        </w:rPr>
      </w:pPr>
      <w:r>
        <w:rPr>
          <w:rFonts w:hint="eastAsia" w:ascii="宋体" w:hAnsi="宋体" w:eastAsia="宋体"/>
        </w:rPr>
        <w:t>非遗代表性项目保护单位可组织和统筹相关门店申请，由文化和旅游主管部门进行资格审核。</w:t>
      </w:r>
    </w:p>
    <w:p>
      <w:pPr>
        <w:pStyle w:val="11"/>
        <w:spacing w:beforeLines="0" w:afterLines="0"/>
        <w:rPr>
          <w:rFonts w:ascii="宋体" w:hAnsi="宋体" w:eastAsia="宋体"/>
        </w:rPr>
      </w:pPr>
      <w:r>
        <w:rPr>
          <w:rFonts w:hint="eastAsia" w:ascii="宋体" w:hAnsi="宋体" w:eastAsia="宋体"/>
        </w:rPr>
        <w:t>由文化和旅游主管部门制定实施细则，建立评估、考核和退出机制，对非遗形象门店实施动态管理，每三年复核一次。</w:t>
      </w:r>
    </w:p>
    <w:p>
      <w:pPr>
        <w:pStyle w:val="9"/>
      </w:pPr>
    </w:p>
    <w:p>
      <w:pPr>
        <w:rPr>
          <w:b/>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Pr>
        <w:ind w:left="600"/>
        <w:jc w:val="center"/>
        <w:rPr>
          <w:sz w:val="28"/>
          <w:szCs w:val="28"/>
        </w:rPr>
      </w:pPr>
    </w:p>
    <w:p/>
    <w:p>
      <w:pPr>
        <w:rPr>
          <w:rFonts w:ascii="黑体" w:hAnsi="黑体" w:eastAsia="黑体" w:cs="黑体"/>
          <w:b/>
          <w:color w:val="000000" w:themeColor="text1"/>
          <w:sz w:val="28"/>
          <w:szCs w:val="28"/>
        </w:rPr>
      </w:pPr>
      <w:r>
        <w:rPr>
          <w:rFonts w:hint="eastAsia" w:ascii="黑体" w:hAnsi="黑体" w:eastAsia="黑体" w:cs="黑体"/>
          <w:b/>
          <w:sz w:val="28"/>
          <w:szCs w:val="28"/>
        </w:rPr>
        <w:t>附件2：</w:t>
      </w:r>
      <w:r>
        <w:rPr>
          <w:rFonts w:hint="eastAsia"/>
          <w:b/>
          <w:color w:val="000000" w:themeColor="text1"/>
          <w:sz w:val="28"/>
          <w:szCs w:val="28"/>
        </w:rPr>
        <w:t>非遗形象门店评定要求</w:t>
      </w:r>
    </w:p>
    <w:p>
      <w:pPr>
        <w:rPr>
          <w:rFonts w:ascii="宋体" w:hAnsi="宋体" w:eastAsia="宋体" w:cs="Times New Roman"/>
          <w:color w:val="000000" w:themeColor="text1"/>
          <w:kern w:val="0"/>
          <w:szCs w:val="21"/>
        </w:rPr>
      </w:pPr>
      <w:r>
        <w:rPr>
          <w:rFonts w:hint="eastAsia" w:ascii="宋体" w:hAnsi="宋体" w:eastAsia="宋体" w:cs="Times New Roman"/>
          <w:color w:val="000000" w:themeColor="text1"/>
          <w:kern w:val="0"/>
          <w:szCs w:val="21"/>
        </w:rPr>
        <w:t>一、本表依据《非遗形象门店管理规范》编制而成。</w:t>
      </w:r>
    </w:p>
    <w:p>
      <w:pPr>
        <w:rPr>
          <w:rFonts w:ascii="宋体" w:hAnsi="宋体" w:eastAsia="宋体" w:cs="Times New Roman"/>
          <w:color w:val="000000" w:themeColor="text1"/>
          <w:kern w:val="0"/>
          <w:szCs w:val="21"/>
        </w:rPr>
      </w:pPr>
      <w:r>
        <w:rPr>
          <w:rFonts w:hint="eastAsia" w:ascii="宋体" w:hAnsi="宋体" w:eastAsia="宋体" w:cs="Times New Roman"/>
          <w:color w:val="000000" w:themeColor="text1"/>
          <w:kern w:val="0"/>
          <w:szCs w:val="21"/>
        </w:rPr>
        <w:t>二、非遗形象门店评分满分190分，其中基础指标得分最高为140分，附加项目得分最高为50分。</w:t>
      </w:r>
    </w:p>
    <w:p>
      <w:pPr>
        <w:rPr>
          <w:rFonts w:ascii="宋体" w:hAnsi="宋体" w:eastAsia="宋体" w:cs="Times New Roman"/>
          <w:color w:val="000000" w:themeColor="text1"/>
          <w:kern w:val="0"/>
          <w:szCs w:val="21"/>
        </w:rPr>
      </w:pPr>
      <w:r>
        <w:rPr>
          <w:rFonts w:hint="eastAsia" w:ascii="宋体" w:hAnsi="宋体" w:eastAsia="宋体" w:cs="Times New Roman"/>
          <w:color w:val="000000" w:themeColor="text1"/>
          <w:kern w:val="0"/>
          <w:szCs w:val="21"/>
        </w:rPr>
        <w:t>三、任何项目只有一档分数时，如不完全具备该项目要求，则酌情给分。如不具备该项目要求，则计“0”分。</w:t>
      </w:r>
    </w:p>
    <w:p>
      <w:pPr>
        <w:rPr>
          <w:rFonts w:ascii="宋体" w:hAnsi="宋体" w:eastAsia="宋体" w:cs="Times New Roman"/>
          <w:color w:val="000000" w:themeColor="text1"/>
          <w:kern w:val="0"/>
          <w:szCs w:val="21"/>
        </w:rPr>
      </w:pPr>
      <w:r>
        <w:rPr>
          <w:rFonts w:hint="eastAsia" w:ascii="宋体" w:hAnsi="宋体" w:eastAsia="宋体" w:cs="Times New Roman"/>
          <w:color w:val="000000" w:themeColor="text1"/>
          <w:kern w:val="0"/>
          <w:szCs w:val="21"/>
        </w:rPr>
        <w:t>四、非遗形象门店各等级最低总分要求：</w:t>
      </w:r>
    </w:p>
    <w:p>
      <w:pPr>
        <w:pStyle w:val="19"/>
        <w:numPr>
          <w:ilvl w:val="0"/>
          <w:numId w:val="0"/>
        </w:numPr>
        <w:tabs>
          <w:tab w:val="left" w:pos="0"/>
        </w:tabs>
        <w:rPr>
          <w:rFonts w:hAnsi="宋体" w:cs="Times New Roman"/>
          <w:color w:val="000000" w:themeColor="text1"/>
          <w:kern w:val="0"/>
        </w:rPr>
      </w:pPr>
      <w:r>
        <w:rPr>
          <w:rFonts w:hint="eastAsia" w:hAnsi="宋体" w:cs="Times New Roman"/>
          <w:color w:val="000000" w:themeColor="text1"/>
          <w:kern w:val="0"/>
        </w:rPr>
        <w:t>1.达标级门店：127分。</w:t>
      </w:r>
    </w:p>
    <w:p>
      <w:pPr>
        <w:pStyle w:val="19"/>
        <w:numPr>
          <w:ilvl w:val="0"/>
          <w:numId w:val="0"/>
        </w:numPr>
        <w:tabs>
          <w:tab w:val="left" w:pos="0"/>
        </w:tabs>
        <w:rPr>
          <w:rFonts w:hAnsi="宋体" w:cs="Times New Roman"/>
          <w:color w:val="000000" w:themeColor="text1"/>
          <w:kern w:val="0"/>
        </w:rPr>
      </w:pPr>
      <w:r>
        <w:rPr>
          <w:rFonts w:hint="eastAsia" w:hAnsi="宋体" w:cs="Times New Roman"/>
          <w:color w:val="000000" w:themeColor="text1"/>
          <w:kern w:val="0"/>
        </w:rPr>
        <w:t>2.银鼎级门店：158分，其中附加项目得分为25分。</w:t>
      </w:r>
    </w:p>
    <w:p>
      <w:pPr>
        <w:pStyle w:val="19"/>
        <w:numPr>
          <w:ilvl w:val="0"/>
          <w:numId w:val="0"/>
        </w:numPr>
        <w:tabs>
          <w:tab w:val="left" w:pos="0"/>
        </w:tabs>
        <w:rPr>
          <w:rFonts w:hAnsi="宋体" w:cs="Times New Roman"/>
          <w:color w:val="000000" w:themeColor="text1"/>
          <w:kern w:val="0"/>
        </w:rPr>
      </w:pPr>
      <w:r>
        <w:rPr>
          <w:rFonts w:hint="eastAsia" w:hAnsi="宋体" w:cs="Times New Roman"/>
          <w:color w:val="000000" w:themeColor="text1"/>
          <w:kern w:val="0"/>
        </w:rPr>
        <w:t>3.金鼎级门店：180分，其中附加项目得分为40分。</w:t>
      </w:r>
    </w:p>
    <w:p>
      <w:pPr>
        <w:pStyle w:val="12"/>
        <w:numPr>
          <w:ilvl w:val="0"/>
          <w:numId w:val="0"/>
        </w:numPr>
        <w:spacing w:before="312" w:after="312"/>
        <w:rPr>
          <w:rFonts w:ascii="宋体" w:hAnsi="宋体" w:eastAsia="宋体"/>
          <w:color w:val="000000" w:themeColor="text1"/>
          <w:szCs w:val="21"/>
        </w:rPr>
      </w:pPr>
      <w:r>
        <w:rPr>
          <w:rFonts w:hint="eastAsia" w:ascii="宋体" w:hAnsi="宋体" w:eastAsia="宋体"/>
          <w:color w:val="000000" w:themeColor="text1"/>
          <w:szCs w:val="21"/>
        </w:rPr>
        <w:t>附：评分表</w:t>
      </w:r>
    </w:p>
    <w:p>
      <w:pPr>
        <w:spacing w:beforeLines="50" w:afterLines="50"/>
        <w:jc w:val="center"/>
        <w:rPr>
          <w:rFonts w:ascii="黑体" w:hAnsi="黑体" w:eastAsia="黑体" w:cs="黑体"/>
          <w:color w:val="000000" w:themeColor="text1"/>
          <w:kern w:val="0"/>
          <w:szCs w:val="21"/>
          <w:lang w:bidi="zh-CN"/>
        </w:rPr>
      </w:pPr>
      <w:r>
        <w:rPr>
          <w:rFonts w:hint="eastAsia" w:ascii="黑体" w:hAnsi="黑体" w:eastAsia="黑体" w:cs="黑体"/>
          <w:color w:val="000000" w:themeColor="text1"/>
          <w:kern w:val="0"/>
          <w:sz w:val="30"/>
          <w:szCs w:val="30"/>
          <w:lang w:bidi="zh-CN"/>
        </w:rPr>
        <w:t xml:space="preserve"> 非遗形象门店评分表</w:t>
      </w:r>
    </w:p>
    <w:tbl>
      <w:tblPr>
        <w:tblStyle w:val="5"/>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5337"/>
        <w:gridCol w:w="616"/>
        <w:gridCol w:w="672"/>
        <w:gridCol w:w="639"/>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1"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序号</w:t>
            </w:r>
          </w:p>
        </w:tc>
        <w:tc>
          <w:tcPr>
            <w:tcW w:w="5337"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评分项目</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大项</w:t>
            </w:r>
            <w:r>
              <w:rPr>
                <w:rFonts w:hint="eastAsia" w:ascii="宋体" w:hAnsi="宋体" w:eastAsia="宋体" w:cs="宋体"/>
                <w:b/>
                <w:bCs/>
                <w:color w:val="000000" w:themeColor="text1"/>
                <w:kern w:val="0"/>
                <w:szCs w:val="21"/>
              </w:rPr>
              <w:br w:type="textWrapping"/>
            </w:r>
            <w:r>
              <w:rPr>
                <w:rFonts w:hint="eastAsia" w:ascii="宋体" w:hAnsi="宋体" w:eastAsia="宋体" w:cs="宋体"/>
                <w:b/>
                <w:bCs/>
                <w:color w:val="000000" w:themeColor="text1"/>
                <w:kern w:val="0"/>
                <w:szCs w:val="21"/>
              </w:rPr>
              <w:t>分值</w:t>
            </w:r>
          </w:p>
        </w:tc>
        <w:tc>
          <w:tcPr>
            <w:tcW w:w="672" w:type="dxa"/>
            <w:tcMar>
              <w:top w:w="15" w:type="dxa"/>
              <w:left w:w="15" w:type="dxa"/>
              <w:right w:w="15" w:type="dxa"/>
            </w:tcMar>
            <w:vAlign w:val="center"/>
          </w:tcPr>
          <w:p>
            <w:pPr>
              <w:widowControl/>
              <w:spacing w:line="320" w:lineRule="exact"/>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二级</w:t>
            </w:r>
            <w:r>
              <w:rPr>
                <w:rFonts w:hint="eastAsia" w:ascii="宋体" w:hAnsi="宋体" w:eastAsia="宋体" w:cs="宋体"/>
                <w:b/>
                <w:bCs/>
                <w:color w:val="000000" w:themeColor="text1"/>
                <w:kern w:val="0"/>
                <w:szCs w:val="21"/>
              </w:rPr>
              <w:br w:type="textWrapping"/>
            </w:r>
            <w:r>
              <w:rPr>
                <w:rFonts w:hint="eastAsia" w:ascii="宋体" w:hAnsi="宋体" w:eastAsia="宋体" w:cs="宋体"/>
                <w:b/>
                <w:bCs/>
                <w:color w:val="000000" w:themeColor="text1"/>
                <w:kern w:val="0"/>
                <w:szCs w:val="21"/>
              </w:rPr>
              <w:t>分项</w:t>
            </w:r>
            <w:r>
              <w:rPr>
                <w:rFonts w:hint="eastAsia" w:ascii="宋体" w:hAnsi="宋体" w:eastAsia="宋体" w:cs="宋体"/>
                <w:b/>
                <w:bCs/>
                <w:color w:val="000000" w:themeColor="text1"/>
                <w:kern w:val="0"/>
                <w:szCs w:val="21"/>
              </w:rPr>
              <w:br w:type="textWrapping"/>
            </w:r>
            <w:r>
              <w:rPr>
                <w:rFonts w:hint="eastAsia" w:ascii="宋体" w:hAnsi="宋体" w:eastAsia="宋体" w:cs="宋体"/>
                <w:b/>
                <w:bCs/>
                <w:color w:val="000000" w:themeColor="text1"/>
                <w:kern w:val="0"/>
                <w:szCs w:val="21"/>
              </w:rPr>
              <w:t>分值</w:t>
            </w:r>
          </w:p>
        </w:tc>
        <w:tc>
          <w:tcPr>
            <w:tcW w:w="639" w:type="dxa"/>
            <w:tcMar>
              <w:top w:w="15" w:type="dxa"/>
              <w:left w:w="15" w:type="dxa"/>
              <w:right w:w="15" w:type="dxa"/>
            </w:tcMar>
            <w:vAlign w:val="center"/>
          </w:tcPr>
          <w:p>
            <w:pPr>
              <w:widowControl/>
              <w:spacing w:line="320" w:lineRule="exact"/>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三级</w:t>
            </w:r>
            <w:r>
              <w:rPr>
                <w:rFonts w:hint="eastAsia" w:ascii="宋体" w:hAnsi="宋体" w:eastAsia="宋体" w:cs="宋体"/>
                <w:b/>
                <w:bCs/>
                <w:color w:val="000000" w:themeColor="text1"/>
                <w:kern w:val="0"/>
                <w:szCs w:val="21"/>
              </w:rPr>
              <w:br w:type="textWrapping"/>
            </w:r>
            <w:r>
              <w:rPr>
                <w:rFonts w:hint="eastAsia" w:ascii="宋体" w:hAnsi="宋体" w:eastAsia="宋体" w:cs="宋体"/>
                <w:b/>
                <w:bCs/>
                <w:color w:val="000000" w:themeColor="text1"/>
                <w:kern w:val="0"/>
                <w:szCs w:val="21"/>
              </w:rPr>
              <w:t>分项</w:t>
            </w:r>
            <w:r>
              <w:rPr>
                <w:rFonts w:hint="eastAsia" w:ascii="宋体" w:hAnsi="宋体" w:eastAsia="宋体" w:cs="宋体"/>
                <w:b/>
                <w:bCs/>
                <w:color w:val="000000" w:themeColor="text1"/>
                <w:kern w:val="0"/>
                <w:szCs w:val="21"/>
              </w:rPr>
              <w:br w:type="textWrapping"/>
            </w:r>
            <w:r>
              <w:rPr>
                <w:rFonts w:hint="eastAsia" w:ascii="宋体" w:hAnsi="宋体" w:eastAsia="宋体" w:cs="宋体"/>
                <w:b/>
                <w:bCs/>
                <w:color w:val="000000" w:themeColor="text1"/>
                <w:kern w:val="0"/>
                <w:szCs w:val="21"/>
              </w:rPr>
              <w:t>分值</w:t>
            </w:r>
          </w:p>
        </w:tc>
        <w:tc>
          <w:tcPr>
            <w:tcW w:w="64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kern w:val="0"/>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b/>
                <w:bCs/>
                <w:color w:val="000000" w:themeColor="text1"/>
                <w:kern w:val="0"/>
                <w:szCs w:val="21"/>
              </w:rPr>
              <w:t>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经营状况</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b/>
                <w:bCs/>
                <w:color w:val="000000" w:themeColor="text1"/>
                <w:kern w:val="0"/>
                <w:szCs w:val="21"/>
              </w:rPr>
              <w:t>30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szCs w:val="21"/>
              </w:rPr>
              <w:t>具备法人资质</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取得</w:t>
            </w:r>
            <w:r>
              <w:rPr>
                <w:rFonts w:hint="eastAsia" w:ascii="宋体" w:hAnsi="宋体" w:eastAsia="宋体" w:cs="宋体"/>
                <w:color w:val="000000" w:themeColor="text1"/>
                <w:kern w:val="0"/>
                <w:szCs w:val="21"/>
              </w:rPr>
              <w:t>相关许可证照</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正式对社会公众开放一年以上的门店</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1.4</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年内无负主要责任的安全事故</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1.5</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门店经营状况稳定</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ascii="宋体" w:hAnsi="宋体" w:eastAsia="宋体" w:cs="宋体"/>
                <w:color w:val="000000" w:themeColor="text1"/>
                <w:szCs w:val="21"/>
              </w:rPr>
              <w:t>10</w:t>
            </w:r>
          </w:p>
        </w:tc>
        <w:tc>
          <w:tcPr>
            <w:tcW w:w="639"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1.5.1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能超额实现年度财务计划指标</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r>
              <w:rPr>
                <w:rFonts w:ascii="宋体" w:hAnsi="宋体" w:eastAsia="宋体" w:cs="宋体"/>
                <w:color w:val="000000" w:themeColor="text1"/>
                <w:szCs w:val="21"/>
              </w:rPr>
              <w:t>0</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1.5.2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能实现年度财务计划指标</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7</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1.5.3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自负盈亏</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5</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b/>
                <w:bCs/>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szCs w:val="21"/>
              </w:rPr>
              <w:t>门店环境要求</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cs="宋体"/>
                <w:b/>
                <w:bCs/>
                <w:color w:val="000000" w:themeColor="text1"/>
                <w:kern w:val="0"/>
                <w:szCs w:val="21"/>
              </w:rPr>
              <w:t>4</w:t>
            </w:r>
            <w:r>
              <w:rPr>
                <w:rFonts w:hint="eastAsia" w:ascii="宋体" w:hAnsi="宋体" w:cs="宋体"/>
                <w:b/>
                <w:bCs/>
                <w:color w:val="000000" w:themeColor="text1"/>
                <w:kern w:val="0"/>
                <w:szCs w:val="21"/>
              </w:rPr>
              <w:t>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区位</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位于城市主要旅游景区或游客集中处</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距离城市主要旅游景区或游客集中处车程1</w:t>
            </w:r>
            <w:r>
              <w:rPr>
                <w:rFonts w:ascii="宋体" w:hAnsi="宋体" w:eastAsia="宋体" w:cs="宋体"/>
                <w:color w:val="000000" w:themeColor="text1"/>
                <w:kern w:val="0"/>
                <w:szCs w:val="21"/>
              </w:rPr>
              <w:t>h</w:t>
            </w:r>
            <w:r>
              <w:rPr>
                <w:rFonts w:hint="eastAsia" w:ascii="宋体" w:hAnsi="宋体" w:eastAsia="宋体" w:cs="宋体"/>
                <w:color w:val="000000" w:themeColor="text1"/>
                <w:kern w:val="0"/>
                <w:szCs w:val="21"/>
              </w:rPr>
              <w:t>以内</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3</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距离城市主要旅游景区或游客集中处车程1</w:t>
            </w:r>
            <w:r>
              <w:rPr>
                <w:rFonts w:ascii="宋体" w:hAnsi="宋体" w:eastAsia="宋体" w:cs="宋体"/>
                <w:color w:val="000000" w:themeColor="text1"/>
                <w:kern w:val="0"/>
                <w:szCs w:val="21"/>
              </w:rPr>
              <w:t>h</w:t>
            </w:r>
            <w:r>
              <w:rPr>
                <w:rFonts w:hint="eastAsia" w:ascii="宋体" w:hAnsi="宋体" w:eastAsia="宋体" w:cs="宋体"/>
                <w:color w:val="000000" w:themeColor="text1"/>
                <w:kern w:val="0"/>
                <w:szCs w:val="21"/>
              </w:rPr>
              <w:t>以上</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规模</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门店布局合理，营业面积</w:t>
            </w:r>
            <w:r>
              <w:rPr>
                <w:rFonts w:ascii="宋体" w:hAnsi="宋体" w:eastAsia="宋体" w:cs="宋体"/>
                <w:color w:val="000000" w:themeColor="text1"/>
                <w:kern w:val="0"/>
                <w:szCs w:val="21"/>
              </w:rPr>
              <w:t>100m</w:t>
            </w:r>
            <w:r>
              <w:rPr>
                <w:rFonts w:ascii="宋体" w:hAnsi="宋体" w:eastAsia="宋体" w:cs="宋体"/>
                <w:color w:val="000000" w:themeColor="text1"/>
                <w:kern w:val="0"/>
                <w:szCs w:val="21"/>
                <w:vertAlign w:val="superscript"/>
              </w:rPr>
              <w:t>2</w:t>
            </w:r>
            <w:r>
              <w:rPr>
                <w:rFonts w:hint="eastAsia" w:ascii="宋体" w:hAnsi="宋体" w:eastAsia="宋体" w:cs="宋体"/>
                <w:color w:val="000000" w:themeColor="text1"/>
                <w:kern w:val="0"/>
                <w:szCs w:val="21"/>
              </w:rPr>
              <w:t>（含）以上</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门店布局合理，营业面积</w:t>
            </w:r>
            <w:r>
              <w:rPr>
                <w:rFonts w:ascii="宋体" w:hAnsi="宋体" w:eastAsia="宋体" w:cs="宋体"/>
                <w:color w:val="000000" w:themeColor="text1"/>
                <w:kern w:val="0"/>
                <w:szCs w:val="21"/>
              </w:rPr>
              <w:t>50m</w:t>
            </w:r>
            <w:r>
              <w:rPr>
                <w:rFonts w:ascii="宋体" w:hAnsi="宋体" w:eastAsia="宋体" w:cs="宋体"/>
                <w:color w:val="000000" w:themeColor="text1"/>
                <w:kern w:val="0"/>
                <w:szCs w:val="21"/>
                <w:vertAlign w:val="superscript"/>
              </w:rPr>
              <w:t>2</w:t>
            </w:r>
            <w:r>
              <w:rPr>
                <w:rFonts w:hint="eastAsia" w:ascii="宋体" w:hAnsi="宋体" w:eastAsia="宋体" w:cs="宋体"/>
                <w:color w:val="000000" w:themeColor="text1"/>
                <w:kern w:val="0"/>
                <w:szCs w:val="21"/>
              </w:rPr>
              <w:t>（含）以上</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3</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kern w:val="0"/>
                <w:szCs w:val="21"/>
              </w:rPr>
              <w:t>门店布局合理，营业面积15</w:t>
            </w:r>
            <w:r>
              <w:rPr>
                <w:rFonts w:ascii="宋体" w:hAnsi="宋体" w:eastAsia="宋体" w:cs="宋体"/>
                <w:color w:val="000000" w:themeColor="text1"/>
                <w:kern w:val="0"/>
                <w:szCs w:val="21"/>
              </w:rPr>
              <w:t>m</w:t>
            </w:r>
            <w:r>
              <w:rPr>
                <w:rFonts w:ascii="宋体" w:hAnsi="宋体" w:eastAsia="宋体" w:cs="宋体"/>
                <w:color w:val="000000" w:themeColor="text1"/>
                <w:kern w:val="0"/>
                <w:szCs w:val="21"/>
                <w:vertAlign w:val="superscript"/>
              </w:rPr>
              <w:t>2</w:t>
            </w:r>
            <w:r>
              <w:rPr>
                <w:rFonts w:hint="eastAsia" w:ascii="宋体" w:hAnsi="宋体" w:eastAsia="宋体" w:cs="宋体"/>
                <w:color w:val="000000" w:themeColor="text1"/>
                <w:kern w:val="0"/>
                <w:szCs w:val="21"/>
              </w:rPr>
              <w:t>（含）以上</w:t>
            </w:r>
          </w:p>
        </w:tc>
        <w:tc>
          <w:tcPr>
            <w:tcW w:w="616"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72" w:type="dxa"/>
            <w:tcMar>
              <w:top w:w="15" w:type="dxa"/>
              <w:left w:w="15" w:type="dxa"/>
              <w:right w:w="15" w:type="dxa"/>
            </w:tcMar>
            <w:vAlign w:val="center"/>
          </w:tcPr>
          <w:p>
            <w:pPr>
              <w:jc w:val="center"/>
              <w:rPr>
                <w:rFonts w:ascii="宋体" w:hAnsi="宋体" w:eastAsia="宋体" w:cs="宋体"/>
                <w:color w:val="000000" w:themeColor="text1"/>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1</w:t>
            </w:r>
          </w:p>
        </w:tc>
        <w:tc>
          <w:tcPr>
            <w:tcW w:w="649" w:type="dxa"/>
            <w:tcMar>
              <w:top w:w="15" w:type="dxa"/>
              <w:left w:w="15" w:type="dxa"/>
              <w:right w:w="15" w:type="dxa"/>
            </w:tcMar>
            <w:vAlign w:val="center"/>
          </w:tcPr>
          <w:p>
            <w:pPr>
              <w:jc w:val="center"/>
              <w:rPr>
                <w:rFonts w:ascii="宋体" w:hAnsi="宋体" w:eastAsia="宋体" w:cs="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门店环境符合</w:t>
            </w:r>
            <w:r>
              <w:rPr>
                <w:rFonts w:ascii="宋体" w:hAnsi="宋体" w:eastAsia="宋体" w:cs="宋体"/>
                <w:color w:val="000000" w:themeColor="text1"/>
                <w:kern w:val="0"/>
                <w:szCs w:val="21"/>
              </w:rPr>
              <w:t>GB/T</w:t>
            </w:r>
            <w:r>
              <w:rPr>
                <w:rFonts w:hint="eastAsia" w:ascii="宋体" w:hAnsi="宋体" w:eastAsia="宋体" w:cs="宋体"/>
                <w:color w:val="000000" w:themeColor="text1"/>
                <w:kern w:val="0"/>
                <w:szCs w:val="21"/>
              </w:rPr>
              <w:t xml:space="preserve"> 17110中对于购物环境的要求。</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4</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门店内标识设置合理、清晰。</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5</w:t>
            </w:r>
          </w:p>
        </w:tc>
        <w:tc>
          <w:tcPr>
            <w:tcW w:w="5337" w:type="dxa"/>
            <w:tcMar>
              <w:top w:w="15" w:type="dxa"/>
              <w:left w:w="15" w:type="dxa"/>
              <w:right w:w="15" w:type="dxa"/>
            </w:tcMar>
            <w:vAlign w:val="center"/>
          </w:tcPr>
          <w:p>
            <w:pPr>
              <w:pStyle w:val="18"/>
              <w:numPr>
                <w:ilvl w:val="0"/>
                <w:numId w:val="0"/>
              </w:numPr>
              <w:rPr>
                <w:rFonts w:hAnsi="宋体" w:cs="宋体"/>
                <w:color w:val="000000" w:themeColor="text1"/>
              </w:rPr>
            </w:pPr>
            <w:r>
              <w:rPr>
                <w:rFonts w:hint="eastAsia" w:hAnsi="宋体" w:cs="宋体"/>
                <w:color w:val="000000" w:themeColor="text1"/>
              </w:rPr>
              <w:t>门店非遗特色的创建范围至少覆盖门店牌匾（招牌）和其中一处墙面，墙面内容应与有该门店售卖的产品或提供的服务相关非遗代表性项目的图文介绍。</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4"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.6</w:t>
            </w:r>
          </w:p>
        </w:tc>
        <w:tc>
          <w:tcPr>
            <w:tcW w:w="5337" w:type="dxa"/>
            <w:tcMar>
              <w:top w:w="15" w:type="dxa"/>
              <w:left w:w="15" w:type="dxa"/>
              <w:right w:w="15" w:type="dxa"/>
            </w:tcMar>
            <w:vAlign w:val="center"/>
          </w:tcPr>
          <w:p>
            <w:pPr>
              <w:pStyle w:val="18"/>
              <w:numPr>
                <w:ilvl w:val="0"/>
                <w:numId w:val="0"/>
              </w:numPr>
              <w:rPr>
                <w:rFonts w:hAnsi="宋体" w:cs="宋体"/>
                <w:color w:val="000000" w:themeColor="text1"/>
              </w:rPr>
            </w:pPr>
            <w:r>
              <w:rPr>
                <w:rFonts w:hint="eastAsia" w:hAnsi="宋体" w:cs="宋体"/>
                <w:color w:val="000000" w:themeColor="text1"/>
              </w:rPr>
              <w:t>门店装修、软装饰等应符合其所提供的产品或服务的风格，整体氛围要体现非遗特色。灯光设计、背景音乐与门店的整体风格相融合。</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2</w:t>
            </w:r>
            <w:r>
              <w:rPr>
                <w:rFonts w:ascii="宋体" w:hAnsi="宋体" w:eastAsia="宋体" w:cs="宋体"/>
                <w:color w:val="000000" w:themeColor="text1"/>
                <w:kern w:val="0"/>
                <w:szCs w:val="21"/>
              </w:rPr>
              <w:t>.7</w:t>
            </w:r>
          </w:p>
        </w:tc>
        <w:tc>
          <w:tcPr>
            <w:tcW w:w="5337" w:type="dxa"/>
            <w:tcMar>
              <w:top w:w="15" w:type="dxa"/>
              <w:left w:w="15" w:type="dxa"/>
              <w:right w:w="15" w:type="dxa"/>
            </w:tcMar>
            <w:vAlign w:val="center"/>
          </w:tcPr>
          <w:p>
            <w:pPr>
              <w:pStyle w:val="18"/>
              <w:numPr>
                <w:ilvl w:val="0"/>
                <w:numId w:val="0"/>
              </w:numPr>
              <w:rPr>
                <w:rFonts w:hAnsi="宋体" w:cs="宋体"/>
                <w:color w:val="000000" w:themeColor="text1"/>
              </w:rPr>
            </w:pPr>
            <w:r>
              <w:rPr>
                <w:rFonts w:hint="eastAsia" w:hAnsi="宋体" w:cs="宋体"/>
                <w:color w:val="000000" w:themeColor="text1"/>
              </w:rPr>
              <w:t>在门店的橱柜、展架及细节装饰上，有专门设计的体现门店特色的视觉识别系统。</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3</w:t>
            </w:r>
          </w:p>
        </w:tc>
        <w:tc>
          <w:tcPr>
            <w:tcW w:w="5337" w:type="dxa"/>
            <w:tcMar>
              <w:top w:w="15" w:type="dxa"/>
              <w:left w:w="15" w:type="dxa"/>
              <w:right w:w="15" w:type="dxa"/>
            </w:tcMar>
            <w:vAlign w:val="center"/>
          </w:tcPr>
          <w:p>
            <w:pPr>
              <w:pStyle w:val="11"/>
              <w:numPr>
                <w:ilvl w:val="1"/>
                <w:numId w:val="0"/>
              </w:numPr>
              <w:spacing w:before="156" w:after="156"/>
              <w:rPr>
                <w:rFonts w:ascii="宋体" w:hAnsi="宋体" w:eastAsia="宋体" w:cs="宋体"/>
                <w:b/>
                <w:bCs/>
                <w:color w:val="000000" w:themeColor="text1"/>
              </w:rPr>
            </w:pPr>
            <w:r>
              <w:rPr>
                <w:rFonts w:hint="eastAsia" w:ascii="宋体" w:hAnsi="宋体" w:eastAsia="宋体" w:cs="宋体"/>
                <w:b/>
                <w:bCs/>
                <w:color w:val="000000" w:themeColor="text1"/>
              </w:rPr>
              <w:t>产品及服务要求</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b/>
                <w:bCs/>
                <w:color w:val="000000" w:themeColor="text1"/>
                <w:kern w:val="0"/>
                <w:szCs w:val="21"/>
              </w:rPr>
              <w:t>50</w:t>
            </w:r>
          </w:p>
        </w:tc>
        <w:tc>
          <w:tcPr>
            <w:tcW w:w="672"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产品特色要求</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25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门店所提供的非遗产品或服务达到经营内容的5</w:t>
            </w:r>
            <w:r>
              <w:rPr>
                <w:rFonts w:ascii="宋体" w:hAnsi="宋体" w:eastAsia="宋体" w:cs="宋体"/>
                <w:color w:val="000000" w:themeColor="text1"/>
                <w:szCs w:val="21"/>
              </w:rPr>
              <w:t>0%</w:t>
            </w:r>
            <w:r>
              <w:rPr>
                <w:rFonts w:hint="eastAsia" w:ascii="宋体" w:hAnsi="宋体" w:eastAsia="宋体" w:cs="宋体"/>
                <w:color w:val="000000" w:themeColor="text1"/>
                <w:szCs w:val="21"/>
              </w:rPr>
              <w:t>（含）以上</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有自有品牌。自有品牌应注册独立商标、体现非遗特色</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.3</w:t>
            </w:r>
          </w:p>
        </w:tc>
        <w:tc>
          <w:tcPr>
            <w:tcW w:w="5337" w:type="dxa"/>
            <w:tcMar>
              <w:top w:w="15" w:type="dxa"/>
              <w:left w:w="15" w:type="dxa"/>
              <w:right w:w="15" w:type="dxa"/>
            </w:tcMar>
            <w:vAlign w:val="center"/>
          </w:tcPr>
          <w:p>
            <w:pPr>
              <w:pStyle w:val="11"/>
              <w:numPr>
                <w:ilvl w:val="0"/>
                <w:numId w:val="0"/>
              </w:numPr>
              <w:spacing w:before="156" w:after="156"/>
              <w:rPr>
                <w:rFonts w:ascii="宋体" w:hAnsi="宋体" w:eastAsia="宋体" w:cs="宋体"/>
                <w:color w:val="000000" w:themeColor="text1"/>
              </w:rPr>
            </w:pPr>
            <w:r>
              <w:rPr>
                <w:rFonts w:hint="eastAsia" w:ascii="宋体" w:hAnsi="宋体" w:eastAsia="宋体" w:cs="宋体"/>
                <w:color w:val="000000" w:themeColor="text1"/>
              </w:rPr>
              <w:t>门店主要经营的产品或服务须为市级及以上非遗代表性项目相关。门店提供的相应产品或服务旁应配套提供相关的非遗代表性项目介绍。</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10</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1</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4</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产品包装等视觉具有非遗特色</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服务特色要求</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kern w:val="0"/>
                <w:szCs w:val="21"/>
              </w:rPr>
            </w:pPr>
            <w:r>
              <w:rPr>
                <w:rFonts w:hint="eastAsia" w:ascii="宋体" w:hAnsi="宋体" w:eastAsia="宋体" w:cs="宋体"/>
                <w:color w:val="000000" w:themeColor="text1"/>
                <w:szCs w:val="21"/>
              </w:rPr>
              <w:t>门店提供非遗相关工艺技艺、生产场景的展示或设立非遗主题展览区，展示产品和服务特色，提升消费体验。</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门店应具备清晰的引导标识和完善的配套设施。</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门店的相关服务人员应具备专业素养，上岗前参与统一培训。</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4</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门店应定期组织开展非遗相关主题的展销活动、宣传活动和营销活动，有效利用各类媒体和渠道宣传推广非遗代表性项目。</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3.</w:t>
            </w:r>
            <w:r>
              <w:rPr>
                <w:rFonts w:ascii="宋体" w:hAnsi="宋体" w:eastAsia="宋体" w:cs="宋体"/>
                <w:color w:val="000000" w:themeColor="text1"/>
                <w:kern w:val="0"/>
                <w:szCs w:val="21"/>
              </w:rPr>
              <w:t>2</w:t>
            </w:r>
            <w:r>
              <w:rPr>
                <w:rFonts w:hint="eastAsia" w:ascii="宋体" w:hAnsi="宋体" w:eastAsia="宋体" w:cs="宋体"/>
                <w:color w:val="000000" w:themeColor="text1"/>
                <w:kern w:val="0"/>
                <w:szCs w:val="21"/>
              </w:rPr>
              <w:t>.</w:t>
            </w:r>
            <w:r>
              <w:rPr>
                <w:rFonts w:ascii="宋体" w:hAnsi="宋体" w:eastAsia="宋体" w:cs="宋体"/>
                <w:color w:val="000000" w:themeColor="text1"/>
                <w:kern w:val="0"/>
                <w:szCs w:val="21"/>
              </w:rPr>
              <w:t>5</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门店员工服饰设计体现门店非遗特色。</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5</w:t>
            </w: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4</w:t>
            </w:r>
          </w:p>
        </w:tc>
        <w:tc>
          <w:tcPr>
            <w:tcW w:w="5337" w:type="dxa"/>
            <w:tcMar>
              <w:top w:w="15" w:type="dxa"/>
              <w:left w:w="15" w:type="dxa"/>
              <w:right w:w="15" w:type="dxa"/>
            </w:tcMar>
            <w:vAlign w:val="center"/>
          </w:tcPr>
          <w:p>
            <w:pPr>
              <w:pStyle w:val="11"/>
              <w:numPr>
                <w:ilvl w:val="1"/>
                <w:numId w:val="0"/>
              </w:numPr>
              <w:spacing w:before="156" w:after="156"/>
              <w:rPr>
                <w:rFonts w:ascii="宋体" w:hAnsi="宋体" w:eastAsia="宋体" w:cs="宋体"/>
                <w:b/>
                <w:bCs/>
                <w:color w:val="000000" w:themeColor="text1"/>
              </w:rPr>
            </w:pPr>
            <w:r>
              <w:rPr>
                <w:rFonts w:hint="eastAsia" w:ascii="宋体" w:hAnsi="宋体" w:eastAsia="宋体" w:cs="宋体"/>
                <w:b/>
                <w:bCs/>
                <w:color w:val="000000" w:themeColor="text1"/>
              </w:rPr>
              <w:t>管理要求</w:t>
            </w:r>
          </w:p>
        </w:tc>
        <w:tc>
          <w:tcPr>
            <w:tcW w:w="616" w:type="dxa"/>
            <w:tcMar>
              <w:top w:w="15" w:type="dxa"/>
              <w:left w:w="15" w:type="dxa"/>
              <w:right w:w="15" w:type="dxa"/>
            </w:tcMar>
            <w:vAlign w:val="center"/>
          </w:tcPr>
          <w:p>
            <w:pPr>
              <w:widowControl/>
              <w:jc w:val="center"/>
              <w:textAlignment w:val="center"/>
              <w:rPr>
                <w:rFonts w:ascii="宋体" w:hAnsi="宋体" w:cs="宋体"/>
                <w:b/>
                <w:bCs/>
                <w:color w:val="000000" w:themeColor="text1"/>
                <w:kern w:val="0"/>
                <w:szCs w:val="21"/>
              </w:rPr>
            </w:pPr>
            <w:r>
              <w:rPr>
                <w:rFonts w:hint="eastAsia" w:ascii="宋体" w:hAnsi="宋体" w:cs="宋体"/>
                <w:b/>
                <w:bCs/>
                <w:color w:val="000000" w:themeColor="text1"/>
                <w:kern w:val="0"/>
                <w:szCs w:val="21"/>
              </w:rPr>
              <w:t>20</w:t>
            </w:r>
          </w:p>
        </w:tc>
        <w:tc>
          <w:tcPr>
            <w:tcW w:w="672"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4.1</w:t>
            </w:r>
          </w:p>
        </w:tc>
        <w:tc>
          <w:tcPr>
            <w:tcW w:w="5337" w:type="dxa"/>
            <w:tcMar>
              <w:top w:w="15" w:type="dxa"/>
              <w:left w:w="15" w:type="dxa"/>
              <w:right w:w="15" w:type="dxa"/>
            </w:tcMar>
            <w:vAlign w:val="center"/>
          </w:tcPr>
          <w:p>
            <w:pPr>
              <w:pStyle w:val="11"/>
              <w:numPr>
                <w:ilvl w:val="0"/>
                <w:numId w:val="0"/>
              </w:numPr>
              <w:spacing w:before="156" w:after="156"/>
              <w:rPr>
                <w:rFonts w:ascii="宋体" w:hAnsi="宋体" w:eastAsia="宋体" w:cs="宋体"/>
                <w:color w:val="000000" w:themeColor="text1"/>
              </w:rPr>
            </w:pPr>
            <w:r>
              <w:rPr>
                <w:rFonts w:hint="eastAsia" w:ascii="宋体" w:hAnsi="宋体" w:eastAsia="宋体" w:cs="宋体"/>
                <w:color w:val="000000" w:themeColor="text1"/>
              </w:rPr>
              <w:t>门店应有较为完善的经营管理制度和财务制度，有短期和长期的经营计划及销售目标。</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cs="宋体"/>
                <w:color w:val="000000" w:themeColor="text1"/>
                <w:kern w:val="0"/>
                <w:szCs w:val="21"/>
              </w:rPr>
              <w:t>10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4.2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门店应公布商品和服务质量投诉电话，建立完善的投诉处理解决机制，及时处理并反馈每一件投诉。</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eastAsia="宋体" w:cs="宋体"/>
                <w:color w:val="000000" w:themeColor="text1"/>
                <w:kern w:val="0"/>
                <w:szCs w:val="21"/>
              </w:rPr>
              <w:t>4.</w:t>
            </w:r>
            <w:r>
              <w:rPr>
                <w:rFonts w:ascii="宋体" w:hAnsi="宋体" w:eastAsia="宋体" w:cs="宋体"/>
                <w:color w:val="000000" w:themeColor="text1"/>
                <w:kern w:val="0"/>
                <w:szCs w:val="21"/>
              </w:rPr>
              <w:t>3</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门店应建立有效的服务质量监督检查和持续改进机制，定期收集消费者的服务质量反馈意见，不断提升服务水平。</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总分</w:t>
            </w:r>
          </w:p>
        </w:tc>
        <w:tc>
          <w:tcPr>
            <w:tcW w:w="5337" w:type="dxa"/>
            <w:tcMar>
              <w:top w:w="15" w:type="dxa"/>
              <w:left w:w="15" w:type="dxa"/>
              <w:right w:w="15" w:type="dxa"/>
            </w:tcMar>
            <w:vAlign w:val="center"/>
          </w:tcPr>
          <w:p>
            <w:pPr>
              <w:pStyle w:val="11"/>
              <w:numPr>
                <w:ilvl w:val="1"/>
                <w:numId w:val="0"/>
              </w:numPr>
              <w:spacing w:before="156" w:after="156"/>
              <w:rPr>
                <w:rFonts w:ascii="宋体" w:hAnsi="宋体" w:eastAsia="宋体" w:cs="宋体"/>
                <w:b/>
                <w:bCs/>
                <w:color w:val="000000" w:themeColor="text1"/>
              </w:rPr>
            </w:pP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w:t>
            </w:r>
            <w:r>
              <w:rPr>
                <w:rFonts w:ascii="宋体" w:hAnsi="宋体" w:eastAsia="宋体" w:cs="宋体"/>
                <w:b/>
                <w:bCs/>
                <w:color w:val="000000" w:themeColor="text1"/>
                <w:kern w:val="0"/>
                <w:szCs w:val="21"/>
              </w:rPr>
              <w:t>40</w:t>
            </w:r>
          </w:p>
        </w:tc>
        <w:tc>
          <w:tcPr>
            <w:tcW w:w="672"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5337" w:type="dxa"/>
            <w:tcMar>
              <w:top w:w="15" w:type="dxa"/>
              <w:left w:w="15" w:type="dxa"/>
              <w:right w:w="15" w:type="dxa"/>
            </w:tcMar>
            <w:vAlign w:val="center"/>
          </w:tcPr>
          <w:p>
            <w:pPr>
              <w:pStyle w:val="11"/>
              <w:numPr>
                <w:ilvl w:val="1"/>
                <w:numId w:val="0"/>
              </w:numPr>
              <w:spacing w:before="156" w:after="156"/>
              <w:rPr>
                <w:rFonts w:ascii="宋体" w:hAnsi="宋体" w:eastAsia="宋体" w:cs="宋体"/>
                <w:b/>
                <w:bCs/>
                <w:color w:val="000000" w:themeColor="text1"/>
              </w:rPr>
            </w:pPr>
            <w:r>
              <w:rPr>
                <w:rFonts w:hint="eastAsia" w:ascii="宋体" w:hAnsi="宋体" w:eastAsia="宋体" w:cs="宋体"/>
                <w:b/>
                <w:bCs/>
                <w:color w:val="000000" w:themeColor="text1"/>
              </w:rPr>
              <w:t>附加项目</w:t>
            </w:r>
          </w:p>
        </w:tc>
        <w:tc>
          <w:tcPr>
            <w:tcW w:w="616" w:type="dxa"/>
            <w:tcMar>
              <w:top w:w="15" w:type="dxa"/>
              <w:left w:w="15" w:type="dxa"/>
              <w:right w:w="15" w:type="dxa"/>
            </w:tcMar>
            <w:vAlign w:val="center"/>
          </w:tcPr>
          <w:p>
            <w:pPr>
              <w:widowControl/>
              <w:jc w:val="center"/>
              <w:textAlignment w:val="center"/>
              <w:rPr>
                <w:rFonts w:ascii="宋体" w:hAnsi="宋体" w:cs="宋体"/>
                <w:b/>
                <w:bCs/>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b/>
                <w:bCs/>
                <w:color w:val="000000" w:themeColor="text1"/>
                <w:kern w:val="0"/>
                <w:szCs w:val="21"/>
              </w:rPr>
              <w:t>J1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szCs w:val="21"/>
              </w:rPr>
              <w:t>店面设计</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w:t>
            </w:r>
            <w:r>
              <w:rPr>
                <w:rFonts w:ascii="宋体" w:hAnsi="宋体" w:eastAsia="宋体" w:cs="宋体"/>
                <w:b/>
                <w:bCs/>
                <w:color w:val="000000" w:themeColor="text1"/>
                <w:kern w:val="0"/>
                <w:szCs w:val="21"/>
              </w:rPr>
              <w:t>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J1.1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有门店的设计方案（含门店视觉识别系统VI设计）和创建方案，严格按方案有效实施，具有示范参考价值。</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color w:val="000000" w:themeColor="text1"/>
                <w:kern w:val="0"/>
                <w:szCs w:val="21"/>
              </w:rPr>
              <w:t>J1.2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有门店的设计方案（含门店视觉识别系统VI设计）和创建方案，能按方案有效实施。</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b/>
                <w:bCs/>
                <w:color w:val="000000" w:themeColor="text1"/>
                <w:kern w:val="0"/>
                <w:szCs w:val="21"/>
              </w:rPr>
              <w:t>J2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b/>
                <w:bCs/>
                <w:color w:val="000000" w:themeColor="text1"/>
                <w:szCs w:val="21"/>
              </w:rPr>
              <w:t>非遗项目介绍</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w:t>
            </w:r>
            <w:r>
              <w:rPr>
                <w:rFonts w:ascii="宋体" w:hAnsi="宋体" w:eastAsia="宋体" w:cs="宋体"/>
                <w:b/>
                <w:bCs/>
                <w:color w:val="000000" w:themeColor="text1"/>
                <w:kern w:val="0"/>
                <w:szCs w:val="21"/>
              </w:rPr>
              <w:t>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J2.1</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color w:val="000000" w:themeColor="text1"/>
                <w:szCs w:val="21"/>
              </w:rPr>
              <w:t>门店内应有与该门店售卖的产品或提供的服务相关非遗项目的文字、图片和视频介绍。</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J2.2</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color w:val="000000" w:themeColor="text1"/>
                <w:szCs w:val="21"/>
              </w:rPr>
              <w:t>门店内应有与该门店售卖的产品或提供的服务相关非遗项目的文字、图片介绍或视频介绍。</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b/>
                <w:bCs/>
                <w:color w:val="000000" w:themeColor="text1"/>
                <w:kern w:val="0"/>
                <w:szCs w:val="21"/>
              </w:rPr>
              <w:t>J3</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szCs w:val="21"/>
              </w:rPr>
              <w:t>非遗特色创建范围</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J3.1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门店非遗特色的创建范围覆盖门店所有营业区域产品、服务，非遗特色鲜明、氛围浓厚。</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J3.2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门店非遗特色的创建范围覆盖门店匾牌（招牌）和墙面。</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b/>
                <w:bCs/>
                <w:color w:val="000000" w:themeColor="text1"/>
                <w:kern w:val="0"/>
                <w:szCs w:val="21"/>
              </w:rPr>
              <w:t>J4</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szCs w:val="21"/>
              </w:rPr>
              <w:t>社会影响力</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J4.1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门店售卖的非遗产品或提供的非遗服务在全国有一定认知度和知名度（品牌质量、服务口碑等被全国</w:t>
            </w:r>
            <w:r>
              <w:rPr>
                <w:rFonts w:ascii="宋体" w:hAnsi="宋体" w:eastAsia="宋体" w:cs="宋体"/>
                <w:color w:val="000000" w:themeColor="text1"/>
                <w:szCs w:val="21"/>
              </w:rPr>
              <w:t>行业协会</w:t>
            </w:r>
            <w:r>
              <w:rPr>
                <w:rFonts w:hint="eastAsia" w:ascii="宋体" w:hAnsi="宋体" w:eastAsia="宋体" w:cs="宋体"/>
                <w:color w:val="000000" w:themeColor="text1"/>
                <w:szCs w:val="21"/>
              </w:rPr>
              <w:t>评为</w:t>
            </w:r>
            <w:r>
              <w:rPr>
                <w:rFonts w:ascii="宋体" w:hAnsi="宋体" w:eastAsia="宋体" w:cs="宋体"/>
                <w:color w:val="000000" w:themeColor="text1"/>
                <w:szCs w:val="21"/>
              </w:rPr>
              <w:t>行业知名企业</w:t>
            </w:r>
            <w:r>
              <w:rPr>
                <w:rFonts w:hint="eastAsia" w:ascii="宋体" w:hAnsi="宋体" w:eastAsia="宋体" w:cs="宋体"/>
                <w:color w:val="000000" w:themeColor="text1"/>
                <w:szCs w:val="21"/>
              </w:rPr>
              <w:t>、</w:t>
            </w:r>
            <w:r>
              <w:rPr>
                <w:rFonts w:ascii="宋体" w:hAnsi="宋体" w:eastAsia="宋体" w:cs="宋体"/>
                <w:color w:val="000000" w:themeColor="text1"/>
                <w:szCs w:val="21"/>
              </w:rPr>
              <w:t>龙头企业</w:t>
            </w:r>
            <w:r>
              <w:rPr>
                <w:rFonts w:hint="eastAsia" w:ascii="宋体" w:hAnsi="宋体" w:eastAsia="宋体" w:cs="宋体"/>
                <w:color w:val="000000" w:themeColor="text1"/>
                <w:szCs w:val="21"/>
              </w:rPr>
              <w:t>等</w:t>
            </w:r>
            <w:r>
              <w:rPr>
                <w:rFonts w:ascii="宋体" w:hAnsi="宋体" w:eastAsia="宋体" w:cs="宋体"/>
                <w:color w:val="000000" w:themeColor="text1"/>
                <w:szCs w:val="21"/>
              </w:rPr>
              <w:t>荣誉</w:t>
            </w:r>
            <w:r>
              <w:rPr>
                <w:rFonts w:hint="eastAsia" w:ascii="宋体" w:hAnsi="宋体" w:eastAsia="宋体" w:cs="宋体"/>
                <w:color w:val="000000" w:themeColor="text1"/>
                <w:szCs w:val="21"/>
              </w:rPr>
              <w:t>，有</w:t>
            </w:r>
            <w:r>
              <w:rPr>
                <w:rFonts w:ascii="宋体" w:hAnsi="宋体" w:eastAsia="宋体" w:cs="宋体"/>
                <w:color w:val="000000" w:themeColor="text1"/>
                <w:szCs w:val="21"/>
              </w:rPr>
              <w:t>专业信息载体</w:t>
            </w:r>
            <w:r>
              <w:rPr>
                <w:rFonts w:hint="eastAsia" w:ascii="宋体" w:hAnsi="宋体" w:eastAsia="宋体" w:cs="宋体"/>
                <w:color w:val="000000" w:themeColor="text1"/>
                <w:szCs w:val="21"/>
              </w:rPr>
              <w:t>&lt;</w:t>
            </w:r>
            <w:r>
              <w:rPr>
                <w:rFonts w:ascii="宋体" w:hAnsi="宋体" w:eastAsia="宋体" w:cs="宋体"/>
                <w:color w:val="000000" w:themeColor="text1"/>
                <w:szCs w:val="21"/>
              </w:rPr>
              <w:t>专业杂志，专业机构等</w:t>
            </w:r>
            <w:r>
              <w:rPr>
                <w:rFonts w:hint="eastAsia" w:ascii="宋体" w:hAnsi="宋体" w:eastAsia="宋体" w:cs="宋体"/>
                <w:color w:val="000000" w:themeColor="text1"/>
                <w:szCs w:val="21"/>
              </w:rPr>
              <w:t>&gt;</w:t>
            </w:r>
            <w:r>
              <w:rPr>
                <w:rFonts w:ascii="宋体" w:hAnsi="宋体" w:eastAsia="宋体" w:cs="宋体"/>
                <w:color w:val="000000" w:themeColor="text1"/>
                <w:szCs w:val="21"/>
              </w:rPr>
              <w:t>的</w:t>
            </w:r>
            <w:r>
              <w:rPr>
                <w:rFonts w:hint="eastAsia" w:ascii="宋体" w:hAnsi="宋体" w:eastAsia="宋体" w:cs="宋体"/>
                <w:color w:val="000000" w:themeColor="text1"/>
                <w:szCs w:val="21"/>
              </w:rPr>
              <w:t>相关</w:t>
            </w:r>
            <w:r>
              <w:rPr>
                <w:rFonts w:ascii="宋体" w:hAnsi="宋体" w:eastAsia="宋体" w:cs="宋体"/>
                <w:color w:val="000000" w:themeColor="text1"/>
                <w:szCs w:val="21"/>
              </w:rPr>
              <w:t>评定</w:t>
            </w:r>
            <w:r>
              <w:rPr>
                <w:rFonts w:hint="eastAsia" w:ascii="宋体" w:hAnsi="宋体" w:eastAsia="宋体" w:cs="宋体"/>
                <w:color w:val="000000" w:themeColor="text1"/>
                <w:szCs w:val="21"/>
              </w:rPr>
              <w:t>）</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J4.2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门店售卖的非遗产品或提供的非遗服务在当地有较高认知度和知名度（品牌质量、服务口碑等被当地</w:t>
            </w:r>
            <w:r>
              <w:rPr>
                <w:rFonts w:ascii="宋体" w:hAnsi="宋体" w:eastAsia="宋体" w:cs="宋体"/>
                <w:color w:val="000000" w:themeColor="text1"/>
                <w:szCs w:val="21"/>
              </w:rPr>
              <w:t>行业协会</w:t>
            </w:r>
            <w:r>
              <w:rPr>
                <w:rFonts w:hint="eastAsia" w:ascii="宋体" w:hAnsi="宋体" w:eastAsia="宋体" w:cs="宋体"/>
                <w:color w:val="000000" w:themeColor="text1"/>
                <w:szCs w:val="21"/>
              </w:rPr>
              <w:t>评为</w:t>
            </w:r>
            <w:r>
              <w:rPr>
                <w:rFonts w:ascii="宋体" w:hAnsi="宋体" w:eastAsia="宋体" w:cs="宋体"/>
                <w:color w:val="000000" w:themeColor="text1"/>
                <w:szCs w:val="21"/>
              </w:rPr>
              <w:t>行业知名企业</w:t>
            </w:r>
            <w:r>
              <w:rPr>
                <w:rFonts w:hint="eastAsia" w:ascii="宋体" w:hAnsi="宋体" w:eastAsia="宋体" w:cs="宋体"/>
                <w:color w:val="000000" w:themeColor="text1"/>
                <w:szCs w:val="21"/>
              </w:rPr>
              <w:t>、</w:t>
            </w:r>
            <w:r>
              <w:rPr>
                <w:rFonts w:ascii="宋体" w:hAnsi="宋体" w:eastAsia="宋体" w:cs="宋体"/>
                <w:color w:val="000000" w:themeColor="text1"/>
                <w:szCs w:val="21"/>
              </w:rPr>
              <w:t>龙头企业</w:t>
            </w:r>
            <w:r>
              <w:rPr>
                <w:rFonts w:hint="eastAsia" w:ascii="宋体" w:hAnsi="宋体" w:eastAsia="宋体" w:cs="宋体"/>
                <w:color w:val="000000" w:themeColor="text1"/>
                <w:szCs w:val="21"/>
              </w:rPr>
              <w:t>等</w:t>
            </w:r>
            <w:r>
              <w:rPr>
                <w:rFonts w:ascii="宋体" w:hAnsi="宋体" w:eastAsia="宋体" w:cs="宋体"/>
                <w:color w:val="000000" w:themeColor="text1"/>
                <w:szCs w:val="21"/>
              </w:rPr>
              <w:t>荣誉</w:t>
            </w:r>
            <w:r>
              <w:rPr>
                <w:rFonts w:hint="eastAsia" w:ascii="宋体" w:hAnsi="宋体" w:eastAsia="宋体" w:cs="宋体"/>
                <w:color w:val="000000" w:themeColor="text1"/>
                <w:szCs w:val="21"/>
              </w:rPr>
              <w:t>，有</w:t>
            </w:r>
            <w:r>
              <w:rPr>
                <w:rFonts w:ascii="宋体" w:hAnsi="宋体" w:eastAsia="宋体" w:cs="宋体"/>
                <w:color w:val="000000" w:themeColor="text1"/>
                <w:szCs w:val="21"/>
              </w:rPr>
              <w:t>专业信息载体</w:t>
            </w:r>
            <w:r>
              <w:rPr>
                <w:rFonts w:hint="eastAsia" w:ascii="宋体" w:hAnsi="宋体" w:eastAsia="宋体" w:cs="宋体"/>
                <w:color w:val="000000" w:themeColor="text1"/>
                <w:szCs w:val="21"/>
              </w:rPr>
              <w:t>&lt;</w:t>
            </w:r>
            <w:r>
              <w:rPr>
                <w:rFonts w:ascii="宋体" w:hAnsi="宋体" w:eastAsia="宋体" w:cs="宋体"/>
                <w:color w:val="000000" w:themeColor="text1"/>
                <w:szCs w:val="21"/>
              </w:rPr>
              <w:t>专业杂志，专业机构等</w:t>
            </w:r>
            <w:r>
              <w:rPr>
                <w:rFonts w:hint="eastAsia" w:ascii="宋体" w:hAnsi="宋体" w:eastAsia="宋体" w:cs="宋体"/>
                <w:color w:val="000000" w:themeColor="text1"/>
                <w:szCs w:val="21"/>
              </w:rPr>
              <w:t>&gt;</w:t>
            </w:r>
            <w:r>
              <w:rPr>
                <w:rFonts w:ascii="宋体" w:hAnsi="宋体" w:eastAsia="宋体" w:cs="宋体"/>
                <w:color w:val="000000" w:themeColor="text1"/>
                <w:szCs w:val="21"/>
              </w:rPr>
              <w:t>的</w:t>
            </w:r>
            <w:r>
              <w:rPr>
                <w:rFonts w:hint="eastAsia" w:ascii="宋体" w:hAnsi="宋体" w:eastAsia="宋体" w:cs="宋体"/>
                <w:color w:val="000000" w:themeColor="text1"/>
                <w:szCs w:val="21"/>
              </w:rPr>
              <w:t>相关</w:t>
            </w:r>
            <w:r>
              <w:rPr>
                <w:rFonts w:ascii="宋体" w:hAnsi="宋体" w:eastAsia="宋体" w:cs="宋体"/>
                <w:color w:val="000000" w:themeColor="text1"/>
                <w:szCs w:val="21"/>
              </w:rPr>
              <w:t>评定</w:t>
            </w:r>
            <w:r>
              <w:rPr>
                <w:rFonts w:hint="eastAsia" w:ascii="宋体" w:hAnsi="宋体" w:eastAsia="宋体" w:cs="宋体"/>
                <w:color w:val="000000" w:themeColor="text1"/>
                <w:szCs w:val="21"/>
              </w:rPr>
              <w:t>）</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r>
              <w:rPr>
                <w:rFonts w:ascii="宋体" w:hAnsi="宋体" w:eastAsia="宋体" w:cs="宋体"/>
                <w:b/>
                <w:bCs/>
                <w:color w:val="000000" w:themeColor="text1"/>
                <w:kern w:val="0"/>
                <w:szCs w:val="21"/>
              </w:rPr>
              <w:t>J5</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r>
              <w:rPr>
                <w:rFonts w:hint="eastAsia" w:ascii="宋体" w:hAnsi="宋体" w:eastAsia="宋体" w:cs="宋体"/>
                <w:b/>
                <w:bCs/>
                <w:color w:val="000000" w:themeColor="text1"/>
                <w:szCs w:val="21"/>
              </w:rPr>
              <w:t>经营状况</w:t>
            </w: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10</w:t>
            </w:r>
          </w:p>
        </w:tc>
        <w:tc>
          <w:tcPr>
            <w:tcW w:w="672"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J4.1</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近三年内，年均营业收入净利润率1</w:t>
            </w:r>
            <w:r>
              <w:rPr>
                <w:rFonts w:ascii="宋体" w:hAnsi="宋体" w:eastAsia="宋体" w:cs="宋体"/>
                <w:color w:val="000000" w:themeColor="text1"/>
                <w:szCs w:val="21"/>
              </w:rPr>
              <w:t>0%</w:t>
            </w:r>
            <w:r>
              <w:rPr>
                <w:rFonts w:hint="eastAsia" w:ascii="宋体" w:hAnsi="宋体" w:eastAsia="宋体" w:cs="宋体"/>
                <w:color w:val="000000" w:themeColor="text1"/>
                <w:szCs w:val="21"/>
              </w:rPr>
              <w:t>及以上</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0</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ascii="宋体" w:hAnsi="宋体" w:eastAsia="宋体" w:cs="宋体"/>
                <w:color w:val="000000" w:themeColor="text1"/>
                <w:kern w:val="0"/>
                <w:szCs w:val="21"/>
              </w:rPr>
              <w:t>J4.2</w:t>
            </w:r>
          </w:p>
        </w:tc>
        <w:tc>
          <w:tcPr>
            <w:tcW w:w="5337" w:type="dxa"/>
            <w:tcMar>
              <w:top w:w="15" w:type="dxa"/>
              <w:left w:w="15" w:type="dxa"/>
              <w:right w:w="15" w:type="dxa"/>
            </w:tcMar>
            <w:vAlign w:val="center"/>
          </w:tcPr>
          <w:p>
            <w:pPr>
              <w:widowControl/>
              <w:jc w:val="left"/>
              <w:textAlignment w:val="center"/>
              <w:rPr>
                <w:rFonts w:ascii="宋体" w:hAnsi="宋体" w:eastAsia="宋体" w:cs="宋体"/>
                <w:color w:val="000000" w:themeColor="text1"/>
                <w:szCs w:val="21"/>
              </w:rPr>
            </w:pPr>
            <w:r>
              <w:rPr>
                <w:rFonts w:hint="eastAsia" w:ascii="宋体" w:hAnsi="宋体" w:eastAsia="宋体" w:cs="宋体"/>
                <w:color w:val="000000" w:themeColor="text1"/>
                <w:szCs w:val="21"/>
              </w:rPr>
              <w:t>近三年内，年均营业收入净利润率5</w:t>
            </w:r>
            <w:r>
              <w:rPr>
                <w:rFonts w:ascii="宋体" w:hAnsi="宋体" w:eastAsia="宋体" w:cs="宋体"/>
                <w:color w:val="000000" w:themeColor="text1"/>
                <w:szCs w:val="21"/>
              </w:rPr>
              <w:t>%</w:t>
            </w:r>
            <w:r>
              <w:rPr>
                <w:rFonts w:hint="eastAsia" w:ascii="宋体" w:hAnsi="宋体" w:eastAsia="宋体" w:cs="宋体"/>
                <w:color w:val="000000" w:themeColor="text1"/>
                <w:szCs w:val="21"/>
              </w:rPr>
              <w:t>及以上</w:t>
            </w:r>
          </w:p>
        </w:tc>
        <w:tc>
          <w:tcPr>
            <w:tcW w:w="616"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72" w:type="dxa"/>
            <w:tcMar>
              <w:top w:w="15" w:type="dxa"/>
              <w:left w:w="15" w:type="dxa"/>
              <w:right w:w="15" w:type="dxa"/>
            </w:tcMar>
            <w:vAlign w:val="center"/>
          </w:tcPr>
          <w:p>
            <w:pPr>
              <w:widowControl/>
              <w:jc w:val="center"/>
              <w:textAlignment w:val="center"/>
              <w:rPr>
                <w:rFonts w:ascii="宋体" w:hAnsi="宋体" w:cs="宋体"/>
                <w:color w:val="000000" w:themeColor="text1"/>
                <w:kern w:val="0"/>
                <w:szCs w:val="21"/>
              </w:rPr>
            </w:pPr>
            <w:r>
              <w:rPr>
                <w:rFonts w:ascii="宋体" w:hAnsi="宋体" w:cs="宋体"/>
                <w:color w:val="000000" w:themeColor="text1"/>
                <w:kern w:val="0"/>
                <w:szCs w:val="21"/>
              </w:rPr>
              <w:t>5</w:t>
            </w:r>
          </w:p>
        </w:tc>
        <w:tc>
          <w:tcPr>
            <w:tcW w:w="63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color w:val="000000" w:themeColor="text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765"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总分</w:t>
            </w:r>
          </w:p>
        </w:tc>
        <w:tc>
          <w:tcPr>
            <w:tcW w:w="5337" w:type="dxa"/>
            <w:tcMar>
              <w:top w:w="15" w:type="dxa"/>
              <w:left w:w="15" w:type="dxa"/>
              <w:right w:w="15" w:type="dxa"/>
            </w:tcMar>
            <w:vAlign w:val="center"/>
          </w:tcPr>
          <w:p>
            <w:pPr>
              <w:widowControl/>
              <w:jc w:val="left"/>
              <w:textAlignment w:val="center"/>
              <w:rPr>
                <w:rFonts w:ascii="宋体" w:hAnsi="宋体" w:eastAsia="宋体" w:cs="宋体"/>
                <w:b/>
                <w:bCs/>
                <w:color w:val="000000" w:themeColor="text1"/>
                <w:szCs w:val="21"/>
              </w:rPr>
            </w:pPr>
          </w:p>
        </w:tc>
        <w:tc>
          <w:tcPr>
            <w:tcW w:w="616"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r>
              <w:rPr>
                <w:rFonts w:hint="eastAsia" w:ascii="宋体" w:hAnsi="宋体" w:eastAsia="宋体" w:cs="宋体"/>
                <w:b/>
                <w:bCs/>
                <w:color w:val="000000" w:themeColor="text1"/>
                <w:kern w:val="0"/>
                <w:szCs w:val="21"/>
              </w:rPr>
              <w:t>5</w:t>
            </w:r>
            <w:r>
              <w:rPr>
                <w:rFonts w:ascii="宋体" w:hAnsi="宋体" w:eastAsia="宋体" w:cs="宋体"/>
                <w:b/>
                <w:bCs/>
                <w:color w:val="000000" w:themeColor="text1"/>
                <w:kern w:val="0"/>
                <w:szCs w:val="21"/>
              </w:rPr>
              <w:t>0</w:t>
            </w:r>
          </w:p>
        </w:tc>
        <w:tc>
          <w:tcPr>
            <w:tcW w:w="672" w:type="dxa"/>
            <w:tcMar>
              <w:top w:w="15" w:type="dxa"/>
              <w:left w:w="15" w:type="dxa"/>
              <w:right w:w="15" w:type="dxa"/>
            </w:tcMar>
            <w:vAlign w:val="center"/>
          </w:tcPr>
          <w:p>
            <w:pPr>
              <w:widowControl/>
              <w:jc w:val="center"/>
              <w:textAlignment w:val="center"/>
              <w:rPr>
                <w:rFonts w:ascii="宋体" w:hAnsi="宋体" w:cs="宋体"/>
                <w:b/>
                <w:bCs/>
                <w:color w:val="000000" w:themeColor="text1"/>
                <w:kern w:val="0"/>
                <w:szCs w:val="21"/>
              </w:rPr>
            </w:pPr>
          </w:p>
        </w:tc>
        <w:tc>
          <w:tcPr>
            <w:tcW w:w="639" w:type="dxa"/>
            <w:tcMar>
              <w:top w:w="15" w:type="dxa"/>
              <w:left w:w="15" w:type="dxa"/>
              <w:right w:w="15" w:type="dxa"/>
            </w:tcMar>
            <w:vAlign w:val="center"/>
          </w:tcPr>
          <w:p>
            <w:pPr>
              <w:widowControl/>
              <w:jc w:val="center"/>
              <w:textAlignment w:val="center"/>
              <w:rPr>
                <w:rFonts w:ascii="宋体" w:hAnsi="宋体" w:cs="宋体"/>
                <w:b/>
                <w:bCs/>
                <w:color w:val="000000" w:themeColor="text1"/>
                <w:kern w:val="0"/>
                <w:szCs w:val="21"/>
              </w:rPr>
            </w:pPr>
          </w:p>
        </w:tc>
        <w:tc>
          <w:tcPr>
            <w:tcW w:w="649" w:type="dxa"/>
            <w:tcMar>
              <w:top w:w="15" w:type="dxa"/>
              <w:left w:w="15" w:type="dxa"/>
              <w:right w:w="15" w:type="dxa"/>
            </w:tcMar>
            <w:vAlign w:val="center"/>
          </w:tcPr>
          <w:p>
            <w:pPr>
              <w:widowControl/>
              <w:jc w:val="center"/>
              <w:textAlignment w:val="center"/>
              <w:rPr>
                <w:rFonts w:ascii="宋体" w:hAnsi="宋体" w:eastAsia="宋体" w:cs="宋体"/>
                <w:b/>
                <w:bCs/>
                <w:color w:val="000000" w:themeColor="text1"/>
                <w:kern w:val="0"/>
                <w:szCs w:val="21"/>
              </w:rPr>
            </w:pPr>
          </w:p>
        </w:tc>
      </w:tr>
    </w:tbl>
    <w:p>
      <w:pPr>
        <w:rPr>
          <w:rFonts w:ascii="黑体" w:hAnsi="黑体" w:eastAsia="黑体" w:cs="黑体"/>
          <w:b/>
          <w:sz w:val="28"/>
          <w:szCs w:val="28"/>
        </w:rPr>
      </w:pPr>
    </w:p>
    <w:p>
      <w:pPr>
        <w:jc w:val="left"/>
        <w:rPr>
          <w:rFonts w:ascii="黑体" w:hAnsi="黑体" w:eastAsia="黑体" w:cs="黑体"/>
          <w:b/>
          <w:sz w:val="28"/>
          <w:szCs w:val="28"/>
        </w:rPr>
      </w:pPr>
      <w:r>
        <w:rPr>
          <w:rFonts w:hint="eastAsia" w:ascii="黑体" w:hAnsi="黑体" w:eastAsia="黑体" w:cs="黑体"/>
          <w:b/>
          <w:sz w:val="28"/>
          <w:szCs w:val="28"/>
        </w:rPr>
        <w:t>附件3：</w:t>
      </w:r>
    </w:p>
    <w:p>
      <w:pPr>
        <w:ind w:left="600"/>
        <w:jc w:val="center"/>
        <w:rPr>
          <w:b/>
          <w:sz w:val="28"/>
          <w:szCs w:val="28"/>
        </w:rPr>
      </w:pPr>
      <w:r>
        <w:rPr>
          <w:rFonts w:hint="eastAsia" w:ascii="Calibri" w:hAnsi="Calibri" w:eastAsia="宋体" w:cs="Times New Roman"/>
          <w:b/>
          <w:sz w:val="36"/>
          <w:szCs w:val="36"/>
        </w:rPr>
        <w:t>绍兴市非遗形象</w:t>
      </w:r>
      <w:r>
        <w:rPr>
          <w:rFonts w:hint="eastAsia"/>
          <w:b/>
          <w:sz w:val="36"/>
          <w:szCs w:val="36"/>
        </w:rPr>
        <w:t>门店申报表</w:t>
      </w:r>
    </w:p>
    <w:p>
      <w:pPr>
        <w:ind w:left="600"/>
        <w:jc w:val="center"/>
        <w:rPr>
          <w:sz w:val="28"/>
          <w:szCs w:val="28"/>
        </w:rPr>
      </w:pPr>
    </w:p>
    <w:tbl>
      <w:tblPr>
        <w:tblStyle w:val="5"/>
        <w:tblW w:w="9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985"/>
        <w:gridCol w:w="2268"/>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门店店名</w:t>
            </w:r>
          </w:p>
        </w:tc>
        <w:tc>
          <w:tcPr>
            <w:tcW w:w="6984" w:type="dxa"/>
            <w:gridSpan w:val="3"/>
            <w:tcBorders>
              <w:top w:val="single" w:color="auto" w:sz="4" w:space="0"/>
              <w:left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负责人姓名</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spacing w:val="-22"/>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联系电话</w:t>
            </w:r>
          </w:p>
        </w:tc>
        <w:tc>
          <w:tcPr>
            <w:tcW w:w="273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本门店</w:t>
            </w:r>
          </w:p>
          <w:p>
            <w:pPr>
              <w:widowControl/>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开业时间</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spacing w:val="-22"/>
                <w:sz w:val="24"/>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门店日常营业时间</w:t>
            </w:r>
          </w:p>
        </w:tc>
        <w:tc>
          <w:tcPr>
            <w:tcW w:w="273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门店地址</w:t>
            </w:r>
          </w:p>
        </w:tc>
        <w:tc>
          <w:tcPr>
            <w:tcW w:w="698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364" w:type="dxa"/>
            <w:tcBorders>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营业面积</w:t>
            </w:r>
          </w:p>
        </w:tc>
        <w:tc>
          <w:tcPr>
            <w:tcW w:w="1985" w:type="dxa"/>
            <w:tcBorders>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color w:val="000000" w:themeColor="text1"/>
                <w:spacing w:val="-22"/>
                <w:sz w:val="24"/>
                <w:szCs w:val="24"/>
              </w:rPr>
            </w:pPr>
          </w:p>
        </w:tc>
        <w:tc>
          <w:tcPr>
            <w:tcW w:w="2268" w:type="dxa"/>
            <w:tcBorders>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所提供的非遗产品或</w:t>
            </w:r>
          </w:p>
          <w:p>
            <w:pPr>
              <w:widowControl/>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服务内容</w:t>
            </w:r>
          </w:p>
        </w:tc>
        <w:tc>
          <w:tcPr>
            <w:tcW w:w="2731" w:type="dxa"/>
            <w:tcBorders>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364" w:type="dxa"/>
            <w:tcBorders>
              <w:top w:val="single" w:color="auto" w:sz="4" w:space="0"/>
              <w:left w:val="single" w:color="auto" w:sz="4" w:space="0"/>
              <w:right w:val="single" w:color="auto" w:sz="4" w:space="0"/>
            </w:tcBorders>
            <w:vAlign w:val="center"/>
          </w:tcPr>
          <w:p>
            <w:pPr>
              <w:widowControl/>
              <w:spacing w:line="520" w:lineRule="exact"/>
              <w:jc w:val="center"/>
              <w:rPr>
                <w:rFonts w:ascii="仿宋_GB2312" w:hAnsi="Calibri" w:eastAsia="仿宋_GB2312" w:cs="Times New Roman"/>
                <w:color w:val="000000" w:themeColor="text1"/>
                <w:sz w:val="24"/>
                <w:szCs w:val="24"/>
              </w:rPr>
            </w:pPr>
            <w:r>
              <w:rPr>
                <w:rFonts w:hint="eastAsia" w:ascii="仿宋_GB2312" w:hAnsi="Calibri" w:eastAsia="仿宋_GB2312" w:cs="Times New Roman"/>
                <w:color w:val="000000" w:themeColor="text1"/>
                <w:spacing w:val="-22"/>
                <w:sz w:val="24"/>
                <w:szCs w:val="24"/>
              </w:rPr>
              <w:t>销售的非遗产品或提供的非遗服务的所占本店的比例</w:t>
            </w:r>
          </w:p>
        </w:tc>
        <w:tc>
          <w:tcPr>
            <w:tcW w:w="6984" w:type="dxa"/>
            <w:gridSpan w:val="3"/>
            <w:tcBorders>
              <w:top w:val="single" w:color="auto" w:sz="4" w:space="0"/>
              <w:left w:val="single" w:color="auto" w:sz="4" w:space="0"/>
              <w:right w:val="single" w:color="auto" w:sz="4" w:space="0"/>
            </w:tcBorders>
            <w:vAlign w:val="center"/>
          </w:tcPr>
          <w:p>
            <w:pPr>
              <w:spacing w:line="52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100%（）   50%以上（）   50%以下（）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2364" w:type="dxa"/>
            <w:tcBorders>
              <w:left w:val="single" w:color="auto" w:sz="4" w:space="0"/>
              <w:right w:val="single" w:color="auto" w:sz="4" w:space="0"/>
            </w:tcBorders>
            <w:vAlign w:val="center"/>
          </w:tcPr>
          <w:p>
            <w:pPr>
              <w:widowControl/>
              <w:spacing w:line="360" w:lineRule="exact"/>
              <w:jc w:val="center"/>
              <w:rPr>
                <w:rFonts w:ascii="仿宋_GB2312" w:hAnsi="Calibri" w:eastAsia="仿宋_GB2312" w:cs="Times New Roman"/>
                <w:color w:val="000000" w:themeColor="text1"/>
                <w:sz w:val="30"/>
                <w:szCs w:val="30"/>
              </w:rPr>
            </w:pPr>
            <w:r>
              <w:rPr>
                <w:rFonts w:hint="eastAsia" w:ascii="仿宋_GB2312" w:hAnsi="Calibri" w:eastAsia="仿宋_GB2312" w:cs="Times New Roman"/>
                <w:color w:val="000000" w:themeColor="text1"/>
                <w:spacing w:val="-22"/>
                <w:sz w:val="24"/>
                <w:szCs w:val="24"/>
              </w:rPr>
              <w:t>非遗项目级别</w:t>
            </w:r>
          </w:p>
        </w:tc>
        <w:tc>
          <w:tcPr>
            <w:tcW w:w="6984" w:type="dxa"/>
            <w:gridSpan w:val="3"/>
            <w:tcBorders>
              <w:top w:val="single" w:color="auto" w:sz="4" w:space="0"/>
              <w:left w:val="single" w:color="auto" w:sz="4" w:space="0"/>
              <w:right w:val="single" w:color="auto" w:sz="4" w:space="0"/>
            </w:tcBorders>
            <w:vAlign w:val="center"/>
          </w:tcPr>
          <w:p>
            <w:pPr>
              <w:spacing w:line="520" w:lineRule="exact"/>
              <w:ind w:firstLine="480" w:firstLineChars="200"/>
              <w:jc w:val="both"/>
              <w:rPr>
                <w:rFonts w:ascii="仿宋_GB2312" w:hAnsi="Calibri" w:eastAsia="仿宋_GB2312" w:cs="Times New Roman"/>
                <w:sz w:val="30"/>
                <w:szCs w:val="30"/>
              </w:rPr>
            </w:pPr>
            <w:r>
              <w:rPr>
                <w:rFonts w:hint="eastAsia" w:ascii="仿宋_GB2312" w:hAnsi="Calibri" w:eastAsia="仿宋_GB2312" w:cs="Times New Roman"/>
                <w:sz w:val="24"/>
                <w:szCs w:val="24"/>
                <w:lang w:eastAsia="zh-CN"/>
              </w:rPr>
              <w:t>国家级（）</w:t>
            </w:r>
            <w:r>
              <w:rPr>
                <w:rFonts w:hint="eastAsia" w:ascii="仿宋_GB2312" w:hAnsi="Calibri" w:eastAsia="仿宋_GB2312" w:cs="Times New Roman"/>
                <w:sz w:val="24"/>
                <w:szCs w:val="24"/>
                <w:lang w:val="en-US" w:eastAsia="zh-CN"/>
              </w:rPr>
              <w:t xml:space="preserve">  省级（）  </w:t>
            </w:r>
            <w:r>
              <w:rPr>
                <w:rFonts w:hint="eastAsia" w:ascii="仿宋_GB2312" w:hAnsi="Calibri" w:eastAsia="仿宋_GB2312" w:cs="Times New Roman"/>
                <w:sz w:val="24"/>
                <w:szCs w:val="24"/>
              </w:rPr>
              <w:t xml:space="preserve">市级（）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门店特色介绍</w:t>
            </w:r>
          </w:p>
        </w:tc>
        <w:tc>
          <w:tcPr>
            <w:tcW w:w="6984"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市文化</w:t>
            </w:r>
          </w:p>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行政部门</w:t>
            </w:r>
          </w:p>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审批意见</w:t>
            </w:r>
          </w:p>
        </w:tc>
        <w:tc>
          <w:tcPr>
            <w:tcW w:w="6984" w:type="dxa"/>
            <w:gridSpan w:val="3"/>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Calibri" w:eastAsia="仿宋_GB2312" w:cs="Times New Roman"/>
                <w:color w:val="000000" w:themeColor="text1"/>
                <w:spacing w:val="-22"/>
                <w:sz w:val="24"/>
                <w:szCs w:val="24"/>
              </w:rPr>
            </w:pPr>
          </w:p>
          <w:p>
            <w:pPr>
              <w:spacing w:line="520" w:lineRule="exact"/>
              <w:jc w:val="left"/>
              <w:rPr>
                <w:rFonts w:ascii="仿宋_GB2312" w:hAnsi="Calibri" w:eastAsia="仿宋_GB2312" w:cs="Times New Roman"/>
                <w:color w:val="000000" w:themeColor="text1"/>
                <w:spacing w:val="-22"/>
                <w:sz w:val="24"/>
                <w:szCs w:val="24"/>
              </w:rPr>
            </w:pPr>
          </w:p>
          <w:p>
            <w:pPr>
              <w:spacing w:line="520" w:lineRule="exact"/>
              <w:ind w:firstLine="5194" w:firstLineChars="2650"/>
              <w:jc w:val="left"/>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（盖章）</w:t>
            </w:r>
          </w:p>
          <w:p>
            <w:pPr>
              <w:spacing w:line="520" w:lineRule="exact"/>
              <w:jc w:val="left"/>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 xml:space="preserve">                             </w:t>
            </w:r>
            <w:r>
              <w:rPr>
                <w:rFonts w:hint="eastAsia" w:ascii="仿宋_GB2312" w:hAnsi="Calibri" w:eastAsia="仿宋_GB2312" w:cs="Times New Roman"/>
                <w:color w:val="000000" w:themeColor="text1"/>
                <w:spacing w:val="-22"/>
                <w:sz w:val="24"/>
                <w:szCs w:val="24"/>
                <w:lang w:val="en-US" w:eastAsia="zh-CN"/>
              </w:rPr>
              <w:t xml:space="preserve">                              </w:t>
            </w:r>
            <w:r>
              <w:rPr>
                <w:rFonts w:hint="eastAsia" w:ascii="仿宋_GB2312" w:hAnsi="Calibri" w:eastAsia="仿宋_GB2312" w:cs="Times New Roman"/>
                <w:color w:val="000000" w:themeColor="text1"/>
                <w:spacing w:val="-2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备   注</w:t>
            </w:r>
          </w:p>
        </w:tc>
        <w:tc>
          <w:tcPr>
            <w:tcW w:w="6984" w:type="dxa"/>
            <w:gridSpan w:val="3"/>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Calibri" w:eastAsia="仿宋_GB2312" w:cs="Times New Roman"/>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辅助照片</w:t>
            </w:r>
          </w:p>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（门店整体外景）</w:t>
            </w:r>
          </w:p>
        </w:tc>
        <w:tc>
          <w:tcPr>
            <w:tcW w:w="6984" w:type="dxa"/>
            <w:gridSpan w:val="3"/>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Calibri" w:eastAsia="仿宋_GB2312" w:cs="Times New Roman"/>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辅助照片</w:t>
            </w:r>
          </w:p>
          <w:p>
            <w:pPr>
              <w:spacing w:line="520" w:lineRule="exact"/>
              <w:jc w:val="center"/>
              <w:rPr>
                <w:rFonts w:ascii="仿宋_GB2312" w:hAnsi="Calibri" w:eastAsia="仿宋_GB2312" w:cs="Times New Roman"/>
                <w:sz w:val="32"/>
                <w:szCs w:val="28"/>
              </w:rPr>
            </w:pPr>
            <w:r>
              <w:rPr>
                <w:rFonts w:hint="eastAsia" w:ascii="仿宋_GB2312" w:hAnsi="Calibri" w:eastAsia="仿宋_GB2312" w:cs="Times New Roman"/>
                <w:color w:val="000000" w:themeColor="text1"/>
                <w:spacing w:val="-22"/>
                <w:sz w:val="24"/>
                <w:szCs w:val="24"/>
              </w:rPr>
              <w:t>（营业执照、卫生执照）</w:t>
            </w:r>
          </w:p>
        </w:tc>
        <w:tc>
          <w:tcPr>
            <w:tcW w:w="6984" w:type="dxa"/>
            <w:gridSpan w:val="3"/>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Calibri" w:eastAsia="仿宋_GB2312" w:cs="Times New Roman"/>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jc w:val="center"/>
        </w:trPr>
        <w:tc>
          <w:tcPr>
            <w:tcW w:w="236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Calibri" w:eastAsia="仿宋_GB2312" w:cs="Times New Roman"/>
                <w:color w:val="000000" w:themeColor="text1"/>
                <w:spacing w:val="-22"/>
                <w:sz w:val="24"/>
                <w:szCs w:val="24"/>
              </w:rPr>
            </w:pPr>
            <w:r>
              <w:rPr>
                <w:rFonts w:hint="eastAsia" w:ascii="仿宋_GB2312" w:hAnsi="Calibri" w:eastAsia="仿宋_GB2312" w:cs="Times New Roman"/>
                <w:color w:val="000000" w:themeColor="text1"/>
                <w:spacing w:val="-22"/>
                <w:sz w:val="24"/>
                <w:szCs w:val="24"/>
              </w:rPr>
              <w:t>辅助照片</w:t>
            </w:r>
          </w:p>
          <w:p>
            <w:pPr>
              <w:spacing w:line="520" w:lineRule="exact"/>
              <w:jc w:val="center"/>
              <w:rPr>
                <w:rFonts w:ascii="仿宋_GB2312" w:hAnsi="Calibri" w:eastAsia="仿宋_GB2312" w:cs="Times New Roman"/>
                <w:sz w:val="32"/>
                <w:szCs w:val="28"/>
              </w:rPr>
            </w:pPr>
            <w:r>
              <w:rPr>
                <w:rFonts w:hint="eastAsia" w:ascii="仿宋_GB2312" w:hAnsi="Calibri" w:eastAsia="仿宋_GB2312" w:cs="Times New Roman"/>
                <w:color w:val="000000" w:themeColor="text1"/>
                <w:spacing w:val="-22"/>
                <w:sz w:val="24"/>
                <w:szCs w:val="24"/>
              </w:rPr>
              <w:t>（产品展销区或服务空间，不少于3张）</w:t>
            </w:r>
          </w:p>
        </w:tc>
        <w:tc>
          <w:tcPr>
            <w:tcW w:w="6984" w:type="dxa"/>
            <w:gridSpan w:val="3"/>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Calibri" w:eastAsia="仿宋_GB2312" w:cs="Times New Roman"/>
                <w:sz w:val="32"/>
                <w:szCs w:val="28"/>
              </w:rPr>
            </w:pPr>
          </w:p>
        </w:tc>
      </w:tr>
    </w:tbl>
    <w:p>
      <w:pPr>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pStyle w:val="1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C9"/>
    <w:rsid w:val="0004277B"/>
    <w:rsid w:val="00043505"/>
    <w:rsid w:val="00075A9A"/>
    <w:rsid w:val="00097F57"/>
    <w:rsid w:val="000C32E0"/>
    <w:rsid w:val="000F17A0"/>
    <w:rsid w:val="000F511D"/>
    <w:rsid w:val="00131276"/>
    <w:rsid w:val="001527DC"/>
    <w:rsid w:val="00153274"/>
    <w:rsid w:val="00166FFA"/>
    <w:rsid w:val="00174EE3"/>
    <w:rsid w:val="00176A0D"/>
    <w:rsid w:val="001837E5"/>
    <w:rsid w:val="001A7C1B"/>
    <w:rsid w:val="001C0A74"/>
    <w:rsid w:val="001E08B3"/>
    <w:rsid w:val="001E0B8F"/>
    <w:rsid w:val="002E66BB"/>
    <w:rsid w:val="002F2CDB"/>
    <w:rsid w:val="0035148F"/>
    <w:rsid w:val="00377607"/>
    <w:rsid w:val="00390C38"/>
    <w:rsid w:val="003D212D"/>
    <w:rsid w:val="003D4A2B"/>
    <w:rsid w:val="003D72BD"/>
    <w:rsid w:val="003F1BC4"/>
    <w:rsid w:val="00447FC9"/>
    <w:rsid w:val="004B5B26"/>
    <w:rsid w:val="004C65EE"/>
    <w:rsid w:val="004F123F"/>
    <w:rsid w:val="00541E4E"/>
    <w:rsid w:val="0059208F"/>
    <w:rsid w:val="005C17A2"/>
    <w:rsid w:val="005F7DEA"/>
    <w:rsid w:val="00647BF2"/>
    <w:rsid w:val="00655C50"/>
    <w:rsid w:val="00685E63"/>
    <w:rsid w:val="006C2C68"/>
    <w:rsid w:val="006C61F5"/>
    <w:rsid w:val="006E0058"/>
    <w:rsid w:val="006E0BE2"/>
    <w:rsid w:val="006F4978"/>
    <w:rsid w:val="00711934"/>
    <w:rsid w:val="00732D7B"/>
    <w:rsid w:val="007532E8"/>
    <w:rsid w:val="007D4F41"/>
    <w:rsid w:val="007F6C58"/>
    <w:rsid w:val="00815C10"/>
    <w:rsid w:val="008339ED"/>
    <w:rsid w:val="00836695"/>
    <w:rsid w:val="008D537B"/>
    <w:rsid w:val="009040C8"/>
    <w:rsid w:val="009B5596"/>
    <w:rsid w:val="009C7257"/>
    <w:rsid w:val="009E4E7D"/>
    <w:rsid w:val="00A01295"/>
    <w:rsid w:val="00A73558"/>
    <w:rsid w:val="00B11CF9"/>
    <w:rsid w:val="00B14C95"/>
    <w:rsid w:val="00B25910"/>
    <w:rsid w:val="00B345EC"/>
    <w:rsid w:val="00BE3219"/>
    <w:rsid w:val="00BF6A5C"/>
    <w:rsid w:val="00C857FC"/>
    <w:rsid w:val="00C920E9"/>
    <w:rsid w:val="00CC3079"/>
    <w:rsid w:val="00CE4385"/>
    <w:rsid w:val="00D03229"/>
    <w:rsid w:val="00D32CE7"/>
    <w:rsid w:val="00D40FEC"/>
    <w:rsid w:val="00D563A5"/>
    <w:rsid w:val="00DA6175"/>
    <w:rsid w:val="00DE13DA"/>
    <w:rsid w:val="00E11FCC"/>
    <w:rsid w:val="00E618F0"/>
    <w:rsid w:val="00E65F11"/>
    <w:rsid w:val="00EE2572"/>
    <w:rsid w:val="00EF55FC"/>
    <w:rsid w:val="00FB7D65"/>
    <w:rsid w:val="00FC0B88"/>
    <w:rsid w:val="00FD272D"/>
    <w:rsid w:val="00FF0378"/>
    <w:rsid w:val="01B2174E"/>
    <w:rsid w:val="1B7864F3"/>
    <w:rsid w:val="22F91DBC"/>
    <w:rsid w:val="29457393"/>
    <w:rsid w:val="32664381"/>
    <w:rsid w:val="42CF79C2"/>
    <w:rsid w:val="55400B1C"/>
    <w:rsid w:val="55730B9A"/>
    <w:rsid w:val="6C126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99"/>
    <w:pPr>
      <w:ind w:left="100" w:leftChars="2500"/>
    </w:pPr>
  </w:style>
  <w:style w:type="character" w:styleId="4">
    <w:name w:val="Hyperlink"/>
    <w:basedOn w:val="3"/>
    <w:unhideWhenUsed/>
    <w:qFormat/>
    <w:uiPriority w:val="99"/>
    <w:rPr>
      <w:color w:val="0000FF" w:themeColor="hyperlink"/>
      <w:u w:val="single"/>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日期 Char"/>
    <w:basedOn w:val="3"/>
    <w:link w:val="2"/>
    <w:semiHidden/>
    <w:qFormat/>
    <w:uiPriority w:val="99"/>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段 Char"/>
    <w:basedOn w:val="3"/>
    <w:link w:val="9"/>
    <w:qFormat/>
    <w:uiPriority w:val="0"/>
    <w:rPr>
      <w:rFonts w:ascii="宋体" w:hAnsi="Times New Roman" w:eastAsia="宋体" w:cs="Times New Roman"/>
      <w:sz w:val="21"/>
    </w:rPr>
  </w:style>
  <w:style w:type="paragraph" w:customStyle="1" w:styleId="11">
    <w:name w:val="一级条标题"/>
    <w:next w:val="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2">
    <w:name w:val="章标题"/>
    <w:next w:val="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二级条标题"/>
    <w:basedOn w:val="11"/>
    <w:next w:val="9"/>
    <w:qFormat/>
    <w:uiPriority w:val="0"/>
    <w:pPr>
      <w:numPr>
        <w:ilvl w:val="2"/>
      </w:numPr>
      <w:outlineLvl w:val="3"/>
    </w:pPr>
  </w:style>
  <w:style w:type="paragraph" w:customStyle="1" w:styleId="14">
    <w:name w:val="目次、标准名称标题"/>
    <w:basedOn w:val="1"/>
    <w:next w:val="9"/>
    <w:qFormat/>
    <w:uiPriority w:val="0"/>
    <w:pPr>
      <w:keepNext/>
      <w:pageBreakBefore/>
      <w:widowControl/>
      <w:shd w:val="clear" w:color="auto"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15">
    <w:name w:val="三级条标题"/>
    <w:basedOn w:val="13"/>
    <w:next w:val="9"/>
    <w:uiPriority w:val="0"/>
    <w:pPr>
      <w:numPr>
        <w:ilvl w:val="3"/>
      </w:numPr>
      <w:outlineLvl w:val="4"/>
    </w:pPr>
  </w:style>
  <w:style w:type="paragraph" w:customStyle="1" w:styleId="16">
    <w:name w:val="四级条标题"/>
    <w:basedOn w:val="15"/>
    <w:next w:val="9"/>
    <w:qFormat/>
    <w:uiPriority w:val="0"/>
    <w:pPr>
      <w:numPr>
        <w:ilvl w:val="4"/>
      </w:numPr>
      <w:outlineLvl w:val="5"/>
    </w:pPr>
  </w:style>
  <w:style w:type="paragraph" w:customStyle="1" w:styleId="17">
    <w:name w:val="五级条标题"/>
    <w:basedOn w:val="16"/>
    <w:next w:val="9"/>
    <w:uiPriority w:val="0"/>
    <w:pPr>
      <w:numPr>
        <w:ilvl w:val="5"/>
      </w:numPr>
      <w:outlineLvl w:val="6"/>
    </w:pPr>
  </w:style>
  <w:style w:type="paragraph" w:customStyle="1" w:styleId="18">
    <w:name w:val="二级无"/>
    <w:basedOn w:val="13"/>
    <w:qFormat/>
    <w:uiPriority w:val="0"/>
    <w:pPr>
      <w:spacing w:beforeLines="0" w:afterLines="0"/>
    </w:pPr>
    <w:rPr>
      <w:rFonts w:ascii="宋体" w:eastAsia="宋体"/>
    </w:rPr>
  </w:style>
  <w:style w:type="paragraph" w:customStyle="1" w:styleId="19">
    <w:name w:val="一级无"/>
    <w:basedOn w:val="11"/>
    <w:qFormat/>
    <w:uiPriority w:val="0"/>
    <w:pPr>
      <w:widowControl w:val="0"/>
      <w:spacing w:beforeLines="0" w:afterLines="0"/>
      <w:jc w:val="both"/>
      <w:outlineLvl w:val="9"/>
    </w:pPr>
    <w:rPr>
      <w:rFonts w:ascii="宋体" w:eastAsia="宋体" w:hAnsiTheme="minorHAnsi" w:cstheme="minorBidi"/>
      <w:kern w:val="2"/>
    </w:rPr>
  </w:style>
  <w:style w:type="paragraph" w:customStyle="1" w:styleId="2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1">
    <w:name w:val="标准书脚_奇数页"/>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921</Words>
  <Characters>5255</Characters>
  <Lines>43</Lines>
  <Paragraphs>12</Paragraphs>
  <ScaleCrop>false</ScaleCrop>
  <LinksUpToDate>false</LinksUpToDate>
  <CharactersWithSpaces>6164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2021-08-17T08:16:00Z</dcterms:created>
  <dc:creator>Administrator</dc:creator>
  <cp:lastModifiedBy>Administrator</cp:lastModifiedBy>
  <dcterms:modified xsi:type="dcterms:W3CDTF">2021-08-17T09:10:05Z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F851DF359D7B461793355E306B759C87</vt:lpwstr>
  </property>
</Properties>
</file>