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cs="Times New Roman"/>
          <w:sz w:val="32"/>
          <w:szCs w:val="32"/>
        </w:rPr>
      </w:pPr>
      <w:r>
        <w:rPr>
          <w:rFonts w:hint="eastAsia" w:ascii="仿宋" w:hAnsi="仿宋" w:eastAsia="仿宋" w:cs="Times New Roman"/>
          <w:sz w:val="32"/>
          <w:szCs w:val="32"/>
        </w:rPr>
        <w:t>附件1：</w:t>
      </w:r>
    </w:p>
    <w:p>
      <w:pPr>
        <w:spacing w:line="600" w:lineRule="exact"/>
        <w:jc w:val="center"/>
        <w:rPr>
          <w:rFonts w:ascii="宋体" w:hAnsi="宋体" w:eastAsia="宋体" w:cs="Times New Roman"/>
          <w:b/>
          <w:bCs/>
          <w:sz w:val="40"/>
          <w:szCs w:val="40"/>
        </w:rPr>
      </w:pPr>
      <w:r>
        <w:rPr>
          <w:rFonts w:hint="eastAsia" w:ascii="宋体" w:hAnsi="宋体" w:eastAsia="宋体" w:cs="Times New Roman"/>
          <w:b/>
          <w:bCs/>
          <w:sz w:val="40"/>
          <w:szCs w:val="40"/>
        </w:rPr>
        <w:t>浙江省有线广播电视运营服务质量评价表</w:t>
      </w:r>
    </w:p>
    <w:p>
      <w:pPr>
        <w:spacing w:line="600" w:lineRule="exact"/>
        <w:jc w:val="center"/>
        <w:rPr>
          <w:rFonts w:ascii="宋体" w:hAnsi="宋体" w:eastAsia="宋体" w:cs="Times New Roman"/>
          <w:sz w:val="32"/>
          <w:szCs w:val="32"/>
        </w:rPr>
      </w:pPr>
    </w:p>
    <w:tbl>
      <w:tblPr>
        <w:tblStyle w:val="4"/>
        <w:tblW w:w="10133" w:type="dxa"/>
        <w:jc w:val="center"/>
        <w:tblInd w:w="0" w:type="dxa"/>
        <w:tblLayout w:type="fixed"/>
        <w:tblCellMar>
          <w:top w:w="0" w:type="dxa"/>
          <w:left w:w="108" w:type="dxa"/>
          <w:bottom w:w="0" w:type="dxa"/>
          <w:right w:w="108" w:type="dxa"/>
        </w:tblCellMar>
      </w:tblPr>
      <w:tblGrid>
        <w:gridCol w:w="456"/>
        <w:gridCol w:w="810"/>
        <w:gridCol w:w="4182"/>
        <w:gridCol w:w="708"/>
        <w:gridCol w:w="709"/>
        <w:gridCol w:w="851"/>
        <w:gridCol w:w="850"/>
        <w:gridCol w:w="851"/>
        <w:gridCol w:w="716"/>
      </w:tblGrid>
      <w:tr>
        <w:tblPrEx>
          <w:tblLayout w:type="fixed"/>
          <w:tblCellMar>
            <w:top w:w="0" w:type="dxa"/>
            <w:left w:w="108" w:type="dxa"/>
            <w:bottom w:w="0" w:type="dxa"/>
            <w:right w:w="108" w:type="dxa"/>
          </w:tblCellMar>
        </w:tblPrEx>
        <w:trPr>
          <w:trHeight w:val="285" w:hRule="atLeast"/>
          <w:jc w:val="center"/>
        </w:trPr>
        <w:tc>
          <w:tcPr>
            <w:tcW w:w="456" w:type="dxa"/>
            <w:vMerge w:val="restart"/>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810" w:type="dxa"/>
            <w:vMerge w:val="restart"/>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事项</w:t>
            </w:r>
          </w:p>
        </w:tc>
        <w:tc>
          <w:tcPr>
            <w:tcW w:w="4182" w:type="dxa"/>
            <w:vMerge w:val="restart"/>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具体内容</w:t>
            </w:r>
          </w:p>
        </w:tc>
        <w:tc>
          <w:tcPr>
            <w:tcW w:w="708" w:type="dxa"/>
            <w:vMerge w:val="restart"/>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基础分值</w:t>
            </w:r>
          </w:p>
        </w:tc>
        <w:tc>
          <w:tcPr>
            <w:tcW w:w="709" w:type="dxa"/>
            <w:vMerge w:val="restart"/>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加分分值</w:t>
            </w:r>
          </w:p>
        </w:tc>
        <w:tc>
          <w:tcPr>
            <w:tcW w:w="2552" w:type="dxa"/>
            <w:gridSpan w:val="3"/>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机构自主评价</w:t>
            </w:r>
          </w:p>
        </w:tc>
        <w:tc>
          <w:tcPr>
            <w:tcW w:w="716" w:type="dxa"/>
            <w:vMerge w:val="restart"/>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事项等级</w:t>
            </w:r>
          </w:p>
        </w:tc>
      </w:tr>
      <w:tr>
        <w:tblPrEx>
          <w:tblLayout w:type="fixed"/>
          <w:tblCellMar>
            <w:top w:w="0" w:type="dxa"/>
            <w:left w:w="108" w:type="dxa"/>
            <w:bottom w:w="0" w:type="dxa"/>
            <w:right w:w="108" w:type="dxa"/>
          </w:tblCellMar>
        </w:tblPrEx>
        <w:trPr>
          <w:trHeight w:val="447" w:hRule="atLeast"/>
          <w:jc w:val="center"/>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810" w:type="dxa"/>
            <w:vMerge w:val="continue"/>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vMerge w:val="continue"/>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708" w:type="dxa"/>
            <w:vMerge w:val="continue"/>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709" w:type="dxa"/>
            <w:vMerge w:val="continue"/>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基础得分</w:t>
            </w: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加分得分</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主要依据</w:t>
            </w:r>
          </w:p>
        </w:tc>
        <w:tc>
          <w:tcPr>
            <w:tcW w:w="716" w:type="dxa"/>
            <w:vMerge w:val="continue"/>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289"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810" w:type="dxa"/>
            <w:vMerge w:val="restart"/>
            <w:tcBorders>
              <w:top w:val="nil"/>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业务种类（6分）</w:t>
            </w: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提供有线模拟或单/双向数字视、音频和数据业务。</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bookmarkStart w:id="0" w:name="_GoBack"/>
            <w:bookmarkEnd w:id="0"/>
            <w:r>
              <w:rPr>
                <w:rFonts w:hint="eastAsia" w:ascii="仿宋" w:hAnsi="仿宋" w:eastAsia="仿宋" w:cs="宋体"/>
                <w:kern w:val="0"/>
                <w:sz w:val="24"/>
                <w:szCs w:val="24"/>
              </w:rPr>
              <w:t>4</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621"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可以通过代理形式开展有线广播电视运营服务。</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531"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810" w:type="dxa"/>
            <w:vMerge w:val="restart"/>
            <w:tcBorders>
              <w:top w:val="nil"/>
              <w:left w:val="nil"/>
              <w:bottom w:val="single" w:color="auto" w:sz="8" w:space="0"/>
              <w:right w:val="single" w:color="auto" w:sz="8" w:space="0"/>
            </w:tcBorders>
            <w:vAlign w:val="center"/>
          </w:tcPr>
          <w:p>
            <w:pPr>
              <w:widowControl/>
              <w:spacing w:line="300" w:lineRule="exact"/>
              <w:jc w:val="center"/>
              <w:rPr>
                <w:rFonts w:hint="eastAsia" w:ascii="仿宋" w:hAnsi="仿宋" w:eastAsia="仿宋" w:cs="宋体"/>
                <w:kern w:val="0"/>
                <w:sz w:val="24"/>
                <w:szCs w:val="24"/>
                <w:lang w:val="en-US" w:eastAsia="zh-CN"/>
              </w:rPr>
            </w:pPr>
            <w:r>
              <w:rPr>
                <w:rFonts w:hint="eastAsia" w:ascii="仿宋" w:hAnsi="仿宋" w:eastAsia="仿宋" w:cs="宋体"/>
                <w:kern w:val="0"/>
                <w:sz w:val="24"/>
                <w:szCs w:val="24"/>
              </w:rPr>
              <w:t>服务范围（2</w:t>
            </w:r>
            <w:r>
              <w:rPr>
                <w:rFonts w:hint="eastAsia" w:ascii="仿宋" w:hAnsi="仿宋" w:eastAsia="仿宋" w:cs="宋体"/>
                <w:kern w:val="0"/>
                <w:sz w:val="24"/>
                <w:szCs w:val="24"/>
                <w:lang w:val="en-US" w:eastAsia="zh-CN"/>
              </w:rPr>
              <w:t>7</w:t>
            </w:r>
            <w:r>
              <w:rPr>
                <w:rFonts w:hint="eastAsia" w:ascii="仿宋" w:hAnsi="仿宋" w:eastAsia="仿宋" w:cs="宋体"/>
                <w:kern w:val="0"/>
                <w:sz w:val="24"/>
                <w:szCs w:val="24"/>
              </w:rPr>
              <w:t>分</w:t>
            </w:r>
            <w:r>
              <w:rPr>
                <w:rFonts w:hint="eastAsia" w:ascii="仿宋" w:hAnsi="仿宋" w:eastAsia="仿宋" w:cs="宋体"/>
                <w:kern w:val="0"/>
                <w:sz w:val="24"/>
                <w:szCs w:val="24"/>
                <w:lang w:eastAsia="zh-CN"/>
              </w:rPr>
              <w:t>）</w:t>
            </w: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须向社会公布所传送的基本收视频道目录。</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1834"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提供包括用户开户与入网、暂停与恢复、移机、过户、增值业务开通及变更、用户信息新建或变更、费用收缴、账单查询/打印、票据补打、押金退还、暂停业务、销户等业务办理服务。电话受理相关业务办理服务时须有录音。</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1000"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须向用户提供运营机构介绍、业务介绍、各类业务的资费标准介绍、办理业务咨询、新业务介绍、服务常识等信息咨询服务。</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597"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无正当理由不得拖延、推诿、拒绝用户要求开通、变更或终止有线广播电视业务。</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704"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未经用户同意（确认方式包括书面、电话、电视页面、电子协议等），不得擅自开通收费有线广播电视业务。</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571"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须提供资费与缴费查询、业务查询、资料查询服务。</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315"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须在营业厅的显著位置公示服务咨询电话。</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209"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须为用户提供多种沟通、建议和投诉的渠道，听取用户的意见和建议，接受用户监督，自觉改善服务工作。</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318" w:hRule="atLeast"/>
          <w:jc w:val="center"/>
        </w:trPr>
        <w:tc>
          <w:tcPr>
            <w:tcW w:w="456" w:type="dxa"/>
            <w:tcBorders>
              <w:top w:val="single" w:color="auto" w:sz="8" w:space="0"/>
              <w:left w:val="single" w:color="auto" w:sz="8" w:space="0"/>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810" w:type="dxa"/>
            <w:vMerge w:val="continue"/>
            <w:tcBorders>
              <w:top w:val="nil"/>
              <w:left w:val="nil"/>
              <w:bottom w:val="single" w:color="auto" w:sz="4"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4"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须提供投诉与建议处理服务。</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1070" w:hRule="atLeast"/>
          <w:jc w:val="center"/>
        </w:trPr>
        <w:tc>
          <w:tcPr>
            <w:tcW w:w="456" w:type="dxa"/>
            <w:tcBorders>
              <w:top w:val="single" w:color="auto" w:sz="4" w:space="0"/>
              <w:left w:val="single" w:color="auto" w:sz="4" w:space="0"/>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810" w:type="dxa"/>
            <w:vMerge w:val="continue"/>
            <w:tcBorders>
              <w:top w:val="single" w:color="auto" w:sz="4" w:space="0"/>
              <w:left w:val="nil"/>
              <w:bottom w:val="single" w:color="auto" w:sz="4"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须派遣专业维修人员为用户进行远程或上门指导、维修，并在故障修复时限内完成维修工作。</w:t>
            </w:r>
          </w:p>
        </w:tc>
        <w:tc>
          <w:tcPr>
            <w:tcW w:w="708" w:type="dxa"/>
            <w:tcBorders>
              <w:top w:val="single" w:color="auto" w:sz="8" w:space="0"/>
              <w:left w:val="single" w:color="auto" w:sz="4" w:space="0"/>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37" w:hRule="atLeast"/>
          <w:jc w:val="center"/>
        </w:trPr>
        <w:tc>
          <w:tcPr>
            <w:tcW w:w="456" w:type="dxa"/>
            <w:tcBorders>
              <w:top w:val="single" w:color="auto" w:sz="4" w:space="0"/>
              <w:left w:val="single" w:color="auto" w:sz="4" w:space="0"/>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810" w:type="dxa"/>
            <w:vMerge w:val="continue"/>
            <w:tcBorders>
              <w:top w:val="single" w:color="auto" w:sz="4" w:space="0"/>
              <w:left w:val="nil"/>
              <w:bottom w:val="single" w:color="auto" w:sz="4"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上门维修人员须遵守预约时间，出示工作证明或佩带企业标识，爱护用户设施，保持环境整洁。</w:t>
            </w:r>
          </w:p>
        </w:tc>
        <w:tc>
          <w:tcPr>
            <w:tcW w:w="708" w:type="dxa"/>
            <w:tcBorders>
              <w:top w:val="single" w:color="auto" w:sz="4" w:space="0"/>
              <w:left w:val="single" w:color="auto" w:sz="4"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09" w:type="dxa"/>
            <w:tcBorders>
              <w:top w:val="single" w:color="auto" w:sz="4"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851" w:type="dxa"/>
            <w:tcBorders>
              <w:top w:val="single" w:color="auto" w:sz="4"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4"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4" w:space="0"/>
              <w:left w:val="nil"/>
              <w:bottom w:val="single" w:color="auto" w:sz="8" w:space="0"/>
              <w:right w:val="single" w:color="auto" w:sz="4"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single" w:color="auto" w:sz="4"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498" w:hRule="atLeast"/>
          <w:jc w:val="center"/>
        </w:trPr>
        <w:tc>
          <w:tcPr>
            <w:tcW w:w="456" w:type="dxa"/>
            <w:tcBorders>
              <w:top w:val="single" w:color="auto" w:sz="4" w:space="0"/>
              <w:left w:val="single" w:color="auto" w:sz="4" w:space="0"/>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810" w:type="dxa"/>
            <w:vMerge w:val="continue"/>
            <w:tcBorders>
              <w:top w:val="single" w:color="auto" w:sz="4" w:space="0"/>
              <w:left w:val="nil"/>
              <w:bottom w:val="single" w:color="auto" w:sz="4"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4" w:space="0"/>
              <w:left w:val="nil"/>
              <w:bottom w:val="single" w:color="auto" w:sz="4"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须尽可能为残疾人和行动不便的老年用户提供最便捷的服务</w:t>
            </w:r>
          </w:p>
        </w:tc>
        <w:tc>
          <w:tcPr>
            <w:tcW w:w="708" w:type="dxa"/>
            <w:tcBorders>
              <w:top w:val="single" w:color="auto" w:sz="8" w:space="0"/>
              <w:left w:val="nil"/>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09" w:type="dxa"/>
            <w:tcBorders>
              <w:top w:val="single" w:color="auto" w:sz="8" w:space="0"/>
              <w:left w:val="nil"/>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851" w:type="dxa"/>
            <w:tcBorders>
              <w:top w:val="single" w:color="auto" w:sz="8" w:space="0"/>
              <w:left w:val="nil"/>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single" w:color="auto" w:sz="4"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704" w:hRule="atLeast"/>
          <w:jc w:val="center"/>
        </w:trPr>
        <w:tc>
          <w:tcPr>
            <w:tcW w:w="456" w:type="dxa"/>
            <w:tcBorders>
              <w:top w:val="single" w:color="auto" w:sz="4"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810" w:type="dxa"/>
            <w:vMerge w:val="restart"/>
            <w:tcBorders>
              <w:top w:val="single" w:color="auto" w:sz="4" w:space="0"/>
              <w:left w:val="nil"/>
              <w:bottom w:val="single" w:color="auto" w:sz="8" w:space="0"/>
              <w:right w:val="single" w:color="auto" w:sz="8" w:space="0"/>
            </w:tcBorders>
            <w:vAlign w:val="center"/>
          </w:tcPr>
          <w:p>
            <w:pPr>
              <w:widowControl/>
              <w:spacing w:line="300" w:lineRule="exact"/>
              <w:jc w:val="center"/>
              <w:rPr>
                <w:rFonts w:hint="eastAsia" w:ascii="仿宋" w:hAnsi="仿宋" w:eastAsia="仿宋" w:cs="宋体"/>
                <w:kern w:val="0"/>
                <w:sz w:val="24"/>
                <w:szCs w:val="24"/>
                <w:lang w:val="en-US" w:eastAsia="zh-CN"/>
              </w:rPr>
            </w:pPr>
            <w:r>
              <w:rPr>
                <w:rFonts w:hint="eastAsia" w:ascii="仿宋" w:hAnsi="仿宋" w:eastAsia="仿宋" w:cs="宋体"/>
                <w:kern w:val="0"/>
                <w:sz w:val="24"/>
                <w:szCs w:val="24"/>
              </w:rPr>
              <w:t>服务时限（</w:t>
            </w:r>
            <w:r>
              <w:rPr>
                <w:rFonts w:hint="eastAsia" w:ascii="仿宋" w:hAnsi="仿宋" w:eastAsia="仿宋" w:cs="宋体"/>
                <w:kern w:val="0"/>
                <w:sz w:val="24"/>
                <w:szCs w:val="24"/>
                <w:lang w:val="en-US" w:eastAsia="zh-CN"/>
              </w:rPr>
              <w:t>28</w:t>
            </w:r>
            <w:r>
              <w:rPr>
                <w:rFonts w:hint="eastAsia" w:ascii="仿宋" w:hAnsi="仿宋" w:eastAsia="仿宋" w:cs="宋体"/>
                <w:kern w:val="0"/>
                <w:sz w:val="24"/>
                <w:szCs w:val="24"/>
              </w:rPr>
              <w:t>分）</w:t>
            </w:r>
          </w:p>
        </w:tc>
        <w:tc>
          <w:tcPr>
            <w:tcW w:w="4182" w:type="dxa"/>
            <w:tcBorders>
              <w:top w:val="single" w:color="auto" w:sz="4"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用户提出安装申请后，无论是否受理，对城镇地区的用户应当在2个工作日内答复，对农村或者交通不便地区的用户应当在5个工作日内答复；对于因不具备安装条件而不能受理的用户，应说明不能受理的原因。</w:t>
            </w:r>
          </w:p>
        </w:tc>
        <w:tc>
          <w:tcPr>
            <w:tcW w:w="708" w:type="dxa"/>
            <w:tcBorders>
              <w:top w:val="single" w:color="auto" w:sz="4"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4"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851" w:type="dxa"/>
            <w:tcBorders>
              <w:top w:val="single" w:color="auto" w:sz="4"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4"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4"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740"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16</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已受理的有线广播电视业务开通时限不超过3个工作日，偏远地区不超过7个工作日。</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513"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17</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有线广播电视业务暂停生效时限不超过3个工作日，偏远地区不超过5个工作日。</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171"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18</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应根据用户的特殊需要，约定有关的业务受理、开通时限、故障处理时限等具体问题。</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666"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19</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须在用户补足应缴费用后1小时内恢复因欠费而终止的服务，需上门连接线路的最长不超过24小时。</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898"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20</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须向用户提供3个月内与用户业务使用相关资料的查询服务。须向用户提供收费凭证，并免费为用户提供1年内缴费记录查询。</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1250"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21</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信息公告可以通过报纸、网站、广播、手机短信、电视广告/字幕、电视邮件/短信、公告张贴等多种形式，尽可能保障用户获知公示信息。</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0.5</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420"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22</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须提供7×24小时人工热线服务。</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343"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23</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坐席服务运行负荷不高于4万用户/坐席。</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1202"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24</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针对用户的投诉须在24小时之内予以答复，在最短时间内对用户所投诉的问题进行解决。较为复杂的问题，答复时间最长不得超过3个工作日。</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798" w:hRule="atLeast"/>
          <w:jc w:val="center"/>
        </w:trPr>
        <w:tc>
          <w:tcPr>
            <w:tcW w:w="456" w:type="dxa"/>
            <w:tcBorders>
              <w:top w:val="single" w:color="auto" w:sz="8" w:space="0"/>
              <w:left w:val="single" w:color="auto" w:sz="8" w:space="0"/>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25</w:t>
            </w:r>
          </w:p>
        </w:tc>
        <w:tc>
          <w:tcPr>
            <w:tcW w:w="810" w:type="dxa"/>
            <w:vMerge w:val="continue"/>
            <w:tcBorders>
              <w:top w:val="nil"/>
              <w:left w:val="nil"/>
              <w:bottom w:val="single" w:color="auto" w:sz="4"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4"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须在要求的期限内完成广播影视行政部门或其设立的投诉处理机构转来的用户投诉处理等相关事宜。</w:t>
            </w:r>
          </w:p>
        </w:tc>
        <w:tc>
          <w:tcPr>
            <w:tcW w:w="708" w:type="dxa"/>
            <w:tcBorders>
              <w:top w:val="single" w:color="auto" w:sz="8" w:space="0"/>
              <w:left w:val="nil"/>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2006" w:hRule="atLeast"/>
          <w:jc w:val="center"/>
        </w:trPr>
        <w:tc>
          <w:tcPr>
            <w:tcW w:w="456" w:type="dxa"/>
            <w:tcBorders>
              <w:top w:val="single" w:color="auto" w:sz="4" w:space="0"/>
              <w:left w:val="single" w:color="auto" w:sz="4" w:space="0"/>
              <w:bottom w:val="single" w:color="auto" w:sz="4"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26</w:t>
            </w:r>
          </w:p>
        </w:tc>
        <w:tc>
          <w:tcPr>
            <w:tcW w:w="810" w:type="dxa"/>
            <w:vMerge w:val="continue"/>
            <w:tcBorders>
              <w:top w:val="single" w:color="auto" w:sz="4" w:space="0"/>
              <w:left w:val="nil"/>
              <w:bottom w:val="single" w:color="auto" w:sz="4"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4" w:space="0"/>
              <w:left w:val="nil"/>
              <w:bottom w:val="single" w:color="auto" w:sz="4"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当自接报之日起或者用户同意的上门维修时间起24小时内修复城镇用户的网络和设备故障，重大故障应当在48小时内修复。因不可抗力原因造成不能按时上门维修或者修复的，运营机构应当及时向用户说明，修复时限从不可抗力原因消失后开始计算。</w:t>
            </w:r>
          </w:p>
        </w:tc>
        <w:tc>
          <w:tcPr>
            <w:tcW w:w="708" w:type="dxa"/>
            <w:tcBorders>
              <w:top w:val="single" w:color="auto" w:sz="4" w:space="0"/>
              <w:left w:val="nil"/>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4" w:space="0"/>
              <w:left w:val="nil"/>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51" w:type="dxa"/>
            <w:tcBorders>
              <w:top w:val="single" w:color="auto" w:sz="4" w:space="0"/>
              <w:left w:val="nil"/>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4" w:space="0"/>
              <w:left w:val="nil"/>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4" w:space="0"/>
              <w:left w:val="nil"/>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840" w:hRule="atLeast"/>
          <w:jc w:val="center"/>
        </w:trPr>
        <w:tc>
          <w:tcPr>
            <w:tcW w:w="456" w:type="dxa"/>
            <w:tcBorders>
              <w:top w:val="single" w:color="auto" w:sz="4" w:space="0"/>
              <w:left w:val="single" w:color="auto" w:sz="8" w:space="0"/>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27</w:t>
            </w:r>
          </w:p>
        </w:tc>
        <w:tc>
          <w:tcPr>
            <w:tcW w:w="810" w:type="dxa"/>
            <w:vMerge w:val="continue"/>
            <w:tcBorders>
              <w:top w:val="single" w:color="auto" w:sz="4"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4"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须当自接报之日的次日起或者用户同意的上门维修时间起72小时内修复农村或者交通不便地区用户的网络和设备故障。</w:t>
            </w:r>
          </w:p>
        </w:tc>
        <w:tc>
          <w:tcPr>
            <w:tcW w:w="708" w:type="dxa"/>
            <w:tcBorders>
              <w:top w:val="single" w:color="auto" w:sz="4"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4"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51" w:type="dxa"/>
            <w:tcBorders>
              <w:top w:val="single" w:color="auto" w:sz="4"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4"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4"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4"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744"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28</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须按规定的要求和时限向有线数字电视管理机构报告发生的重大传输问题。</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687"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29</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须对所有与重大传输问题有关的数据进行采集、记录和保存，相关数据和书面记录至少保存6个月。</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321"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30</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语音服务台的人工应答平均时限为10秒以内。</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37"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31</w:t>
            </w:r>
          </w:p>
        </w:tc>
        <w:tc>
          <w:tcPr>
            <w:tcW w:w="810" w:type="dxa"/>
            <w:vMerge w:val="restart"/>
            <w:tcBorders>
              <w:top w:val="nil"/>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资费标准（18分）</w:t>
            </w: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须严格按照国家有关政策制定或调整有线广播电视服务资费。</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328"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32</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须执行国家有线广播电视资费管理的有关规定，明码标价。</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848"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33</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须按文件要求对特困家庭、低保家庭等特殊群体在安装费、收视费、其它服务费等方面给予优惠。</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541"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34</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须提供包括银行代扣、网上缴费、营业厅缴费等多种收费方式。</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258"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35</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须免收用户暂停业务期间内的视听维护费。</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210"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36</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须在营业厅较明显位置进行上墙公开政府定价资费。</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1140"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37</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按市场情况制定增值服务产品的内容和资费，服务产品包含的内容及其资费须在营业厅放置资费单页，单个节目点播价格应在电视页面节目价格栏中进行公开标价。</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882"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38</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根据市场变化对增值服务产品的内容和资费进行调整，资费单页须及时更新和替换，在3个工作日内做好公示调整及变更通过工作。</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790" w:hRule="atLeast"/>
          <w:jc w:val="center"/>
        </w:trPr>
        <w:tc>
          <w:tcPr>
            <w:tcW w:w="456" w:type="dxa"/>
            <w:tcBorders>
              <w:top w:val="single" w:color="auto" w:sz="8" w:space="0"/>
              <w:left w:val="single" w:color="auto" w:sz="8" w:space="0"/>
              <w:bottom w:val="single" w:color="auto" w:sz="4"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39</w:t>
            </w:r>
          </w:p>
        </w:tc>
        <w:tc>
          <w:tcPr>
            <w:tcW w:w="810" w:type="dxa"/>
            <w:vMerge w:val="continue"/>
            <w:tcBorders>
              <w:top w:val="nil"/>
              <w:left w:val="nil"/>
              <w:bottom w:val="single" w:color="auto" w:sz="4"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4"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须提前通过网站、营业厅或短信等方式进行公告或通知因价格调整涉及到的原订购产品用户。</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694" w:hRule="atLeast"/>
          <w:jc w:val="center"/>
        </w:trPr>
        <w:tc>
          <w:tcPr>
            <w:tcW w:w="456" w:type="dxa"/>
            <w:tcBorders>
              <w:top w:val="single" w:color="auto" w:sz="4" w:space="0"/>
              <w:left w:val="single" w:color="auto" w:sz="4" w:space="0"/>
              <w:bottom w:val="single" w:color="auto" w:sz="4"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40</w:t>
            </w:r>
          </w:p>
        </w:tc>
        <w:tc>
          <w:tcPr>
            <w:tcW w:w="810" w:type="dxa"/>
            <w:vMerge w:val="restart"/>
            <w:tcBorders>
              <w:top w:val="single" w:color="auto" w:sz="4" w:space="0"/>
              <w:left w:val="nil"/>
              <w:bottom w:val="single" w:color="auto" w:sz="4" w:space="0"/>
              <w:right w:val="single" w:color="auto" w:sz="8" w:space="0"/>
            </w:tcBorders>
            <w:vAlign w:val="center"/>
          </w:tcPr>
          <w:p>
            <w:pPr>
              <w:widowControl/>
              <w:spacing w:line="300" w:lineRule="exact"/>
              <w:jc w:val="center"/>
              <w:rPr>
                <w:rFonts w:hint="eastAsia" w:ascii="仿宋" w:hAnsi="仿宋" w:eastAsia="仿宋" w:cs="宋体"/>
                <w:kern w:val="0"/>
                <w:sz w:val="24"/>
                <w:szCs w:val="24"/>
                <w:lang w:val="en-US" w:eastAsia="zh-CN"/>
              </w:rPr>
            </w:pPr>
            <w:r>
              <w:rPr>
                <w:rFonts w:hint="eastAsia" w:ascii="仿宋" w:hAnsi="仿宋" w:eastAsia="仿宋" w:cs="宋体"/>
                <w:kern w:val="0"/>
                <w:sz w:val="24"/>
                <w:szCs w:val="24"/>
              </w:rPr>
              <w:t>其他内容（2</w:t>
            </w:r>
            <w:r>
              <w:rPr>
                <w:rFonts w:hint="eastAsia" w:ascii="仿宋" w:hAnsi="仿宋" w:eastAsia="仿宋" w:cs="宋体"/>
                <w:kern w:val="0"/>
                <w:sz w:val="24"/>
                <w:szCs w:val="24"/>
                <w:lang w:val="en-US" w:eastAsia="zh-CN"/>
              </w:rPr>
              <w:t>1</w:t>
            </w:r>
            <w:r>
              <w:rPr>
                <w:rFonts w:hint="eastAsia" w:ascii="仿宋" w:hAnsi="仿宋" w:eastAsia="仿宋" w:cs="宋体"/>
                <w:kern w:val="0"/>
                <w:sz w:val="24"/>
                <w:szCs w:val="24"/>
              </w:rPr>
              <w:t>分）</w:t>
            </w:r>
          </w:p>
        </w:tc>
        <w:tc>
          <w:tcPr>
            <w:tcW w:w="4182"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须对用户信息进行保密，未经用户同意不能用作其它用途（法律另有规定的除外）。</w:t>
            </w:r>
          </w:p>
        </w:tc>
        <w:tc>
          <w:tcPr>
            <w:tcW w:w="708" w:type="dxa"/>
            <w:tcBorders>
              <w:top w:val="single" w:color="auto" w:sz="8" w:space="0"/>
              <w:left w:val="single" w:color="auto" w:sz="4"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0.5</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445" w:hRule="atLeast"/>
          <w:jc w:val="center"/>
        </w:trPr>
        <w:tc>
          <w:tcPr>
            <w:tcW w:w="456" w:type="dxa"/>
            <w:tcBorders>
              <w:top w:val="single" w:color="auto" w:sz="4" w:space="0"/>
              <w:left w:val="single" w:color="auto" w:sz="8" w:space="0"/>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41</w:t>
            </w:r>
          </w:p>
        </w:tc>
        <w:tc>
          <w:tcPr>
            <w:tcW w:w="810" w:type="dxa"/>
            <w:vMerge w:val="continue"/>
            <w:tcBorders>
              <w:top w:val="single" w:color="auto" w:sz="4"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4"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营业厅服务质量投诉率须小于2%。</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390"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42</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用户资料完整及时率须大于98%。</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0.5</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375"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43</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用户资料差错率须小于2%。</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150"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44</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人工服务的月平均接通率须不低于80%。</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45</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安装回访率须不低于80％。</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269"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46</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须规范广告业务，广告设置要充分考虑到用户的视听体验。</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349"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47</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须合理编排广告播出，商业广告应当控制总量、均衡配置。</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300"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48</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须严格审核承接的广告内容，不得播出国家法律、行政法规和国家有关规定禁止的内容。</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452"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49</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播出广告时，不得隐匿所传送广播电视节目的台标和频道标识。</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116" w:hRule="atLeast"/>
          <w:jc w:val="center"/>
        </w:trPr>
        <w:tc>
          <w:tcPr>
            <w:tcW w:w="456"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50</w:t>
            </w:r>
          </w:p>
        </w:tc>
        <w:tc>
          <w:tcPr>
            <w:tcW w:w="810" w:type="dxa"/>
            <w:vMerge w:val="continue"/>
            <w:tcBorders>
              <w:top w:val="nil"/>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播出广告时，不得影响所传送广播电视节目的完整性。以下情况除外，在自然灾害发生前，根据气象或应急管理部门要求发布应急字幕。</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Layout w:type="fixed"/>
          <w:tblCellMar>
            <w:top w:w="0" w:type="dxa"/>
            <w:left w:w="108" w:type="dxa"/>
            <w:bottom w:w="0" w:type="dxa"/>
            <w:right w:w="108" w:type="dxa"/>
          </w:tblCellMar>
        </w:tblPrEx>
        <w:trPr>
          <w:trHeight w:val="635" w:hRule="atLeast"/>
          <w:jc w:val="center"/>
        </w:trPr>
        <w:tc>
          <w:tcPr>
            <w:tcW w:w="1266" w:type="dxa"/>
            <w:gridSpan w:val="2"/>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主观</w:t>
            </w:r>
          </w:p>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评价项</w:t>
            </w:r>
          </w:p>
        </w:tc>
        <w:tc>
          <w:tcPr>
            <w:tcW w:w="4182" w:type="dxa"/>
            <w:tcBorders>
              <w:top w:val="single" w:color="auto" w:sz="8" w:space="0"/>
              <w:left w:val="nil"/>
              <w:bottom w:val="single" w:color="auto" w:sz="8" w:space="0"/>
              <w:right w:val="single" w:color="auto" w:sz="8" w:space="0"/>
            </w:tcBorders>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1.重视情况，最高1.5分。</w:t>
            </w:r>
          </w:p>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2.公司荣誉，最高2.5分。</w:t>
            </w:r>
          </w:p>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3.创新情况，最高2分。</w:t>
            </w:r>
          </w:p>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4.材料情况，最高1分。</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465" w:hRule="atLeast"/>
          <w:jc w:val="center"/>
        </w:trPr>
        <w:tc>
          <w:tcPr>
            <w:tcW w:w="5448" w:type="dxa"/>
            <w:gridSpan w:val="3"/>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总分</w:t>
            </w:r>
          </w:p>
        </w:tc>
        <w:tc>
          <w:tcPr>
            <w:tcW w:w="708"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100</w:t>
            </w:r>
          </w:p>
        </w:tc>
        <w:tc>
          <w:tcPr>
            <w:tcW w:w="709"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40</w:t>
            </w: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p>
        </w:tc>
        <w:tc>
          <w:tcPr>
            <w:tcW w:w="851"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716"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Georgia">
    <w:panose1 w:val="02040502050405020303"/>
    <w:charset w:val="00"/>
    <w:family w:val="roman"/>
    <w:pitch w:val="default"/>
    <w:sig w:usb0="00000287" w:usb1="00000000" w:usb2="00000000" w:usb3="00000000" w:csb0="2000009F" w:csb1="00000000"/>
  </w:font>
  <w:font w:name="Garamond">
    <w:panose1 w:val="02020404030301010803"/>
    <w:charset w:val="00"/>
    <w:family w:val="roman"/>
    <w:pitch w:val="default"/>
    <w:sig w:usb0="00000287" w:usb1="00000000" w:usb2="00000000" w:usb3="00000000" w:csb0="0000009F" w:csb1="DFD70000"/>
  </w:font>
  <w:font w:name="Arial Black">
    <w:panose1 w:val="020B0A04020102020204"/>
    <w:charset w:val="00"/>
    <w:family w:val="swiss"/>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4559A"/>
    <w:rsid w:val="0F3B6552"/>
    <w:rsid w:val="299C6AAF"/>
    <w:rsid w:val="58B4559A"/>
    <w:rsid w:val="5AF255F7"/>
    <w:rsid w:val="78D11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pPr>
    <w:rPr>
      <w:rFonts w:ascii="黑体" w:hAnsi="Calibri" w:eastAsia="宋体" w:cs="Times New Roman"/>
      <w:sz w:val="24"/>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2019-11-05T02:59:00Z</dcterms:created>
  <dc:creator>Administrator</dc:creator>
  <cp:lastModifiedBy>Administrator</cp:lastModifiedBy>
  <dcterms:modified xsi:type="dcterms:W3CDTF">2019-11-05T03:00:25Z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